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2068E" w14:textId="72886520" w:rsidR="00FB06F0" w:rsidRPr="00EB545C" w:rsidRDefault="004F253D">
      <w:pPr>
        <w:pStyle w:val="Ttulo1"/>
        <w:spacing w:before="78"/>
        <w:ind w:left="197" w:firstLine="0"/>
        <w:rPr>
          <w:rFonts w:ascii="Arial"/>
        </w:rPr>
      </w:pPr>
      <w:r w:rsidRPr="00EB545C">
        <w:rPr>
          <w:rFonts w:ascii="Arial"/>
          <w:color w:val="00125C"/>
        </w:rPr>
        <w:t>CALL FOR PROJECTS:</w:t>
      </w:r>
    </w:p>
    <w:p w14:paraId="26D24AA2" w14:textId="0CF53F38" w:rsidR="00FB06F0" w:rsidRPr="00EB545C" w:rsidRDefault="004F253D">
      <w:pPr>
        <w:pStyle w:val="Ttulo2"/>
      </w:pPr>
      <w:r w:rsidRPr="00EB545C">
        <w:rPr>
          <w:color w:val="00125C"/>
        </w:rPr>
        <w:t>Transformative initiatives for improved governance in the Great Forests of Mesoamerica.</w:t>
      </w:r>
    </w:p>
    <w:p w14:paraId="6C85E28B" w14:textId="025B2CFA" w:rsidR="00FB06F0" w:rsidRPr="00EB545C" w:rsidRDefault="00FB06F0">
      <w:pPr>
        <w:pStyle w:val="Textoindependiente"/>
        <w:spacing w:before="2"/>
        <w:rPr>
          <w:rFonts w:ascii="Arial"/>
          <w:b/>
          <w:i/>
          <w:sz w:val="32"/>
        </w:rPr>
      </w:pPr>
    </w:p>
    <w:p w14:paraId="6750E974" w14:textId="61BD783A" w:rsidR="00FB06F0" w:rsidRPr="00EB545C" w:rsidRDefault="004F253D">
      <w:pPr>
        <w:spacing w:before="1"/>
        <w:ind w:left="197"/>
        <w:rPr>
          <w:rFonts w:ascii="Arial" w:hAnsi="Arial"/>
        </w:rPr>
      </w:pPr>
      <w:r w:rsidRPr="00EB545C">
        <w:rPr>
          <w:rFonts w:ascii="Arial" w:hAnsi="Arial"/>
          <w:b/>
          <w:color w:val="00125C"/>
        </w:rPr>
        <w:t xml:space="preserve">Deadline for submission of applications </w:t>
      </w:r>
      <w:r w:rsidR="00D07007">
        <w:rPr>
          <w:rFonts w:ascii="Arial" w:hAnsi="Arial"/>
          <w:b/>
          <w:color w:val="00125C"/>
        </w:rPr>
        <w:t xml:space="preserve">(extended) </w:t>
      </w:r>
      <w:r w:rsidR="00D07007" w:rsidRPr="00D07007">
        <w:rPr>
          <w:rFonts w:ascii="Arial" w:hAnsi="Arial"/>
          <w:color w:val="00125C"/>
          <w:highlight w:val="yellow"/>
        </w:rPr>
        <w:t>06</w:t>
      </w:r>
      <w:r w:rsidRPr="00D07007">
        <w:rPr>
          <w:rFonts w:ascii="Arial" w:hAnsi="Arial"/>
          <w:color w:val="00125C"/>
          <w:highlight w:val="yellow"/>
        </w:rPr>
        <w:t>/0</w:t>
      </w:r>
      <w:r w:rsidR="00D07007" w:rsidRPr="00D07007">
        <w:rPr>
          <w:rFonts w:ascii="Arial" w:hAnsi="Arial"/>
          <w:color w:val="00125C"/>
          <w:highlight w:val="yellow"/>
        </w:rPr>
        <w:t>3</w:t>
      </w:r>
      <w:r w:rsidRPr="00D07007">
        <w:rPr>
          <w:rFonts w:ascii="Arial" w:hAnsi="Arial"/>
          <w:color w:val="00125C"/>
          <w:highlight w:val="yellow"/>
        </w:rPr>
        <w:t>/2026</w:t>
      </w:r>
      <w:r w:rsidRPr="00EB545C">
        <w:rPr>
          <w:rFonts w:ascii="Arial" w:hAnsi="Arial"/>
          <w:color w:val="00125C"/>
        </w:rPr>
        <w:t xml:space="preserve"> at 23.59h (CST / UTC-6)</w:t>
      </w:r>
    </w:p>
    <w:p w14:paraId="2618E3D4" w14:textId="77777777" w:rsidR="00FB06F0" w:rsidRPr="00EB545C" w:rsidRDefault="00FB06F0">
      <w:pPr>
        <w:pStyle w:val="Textoindependiente"/>
        <w:spacing w:before="173"/>
        <w:rPr>
          <w:rFonts w:ascii="Arial"/>
          <w:sz w:val="22"/>
        </w:rPr>
      </w:pPr>
    </w:p>
    <w:p w14:paraId="23E909F1" w14:textId="77777777" w:rsidR="00FB06F0" w:rsidRPr="00EB545C" w:rsidRDefault="004F253D">
      <w:pPr>
        <w:pStyle w:val="Ttulo1"/>
        <w:numPr>
          <w:ilvl w:val="0"/>
          <w:numId w:val="5"/>
        </w:numPr>
        <w:tabs>
          <w:tab w:val="left" w:pos="556"/>
        </w:tabs>
        <w:ind w:left="556" w:hanging="359"/>
        <w:rPr>
          <w:b w:val="0"/>
          <w:color w:val="00125C"/>
        </w:rPr>
      </w:pPr>
      <w:r w:rsidRPr="00EB545C">
        <w:rPr>
          <w:b w:val="0"/>
          <w:color w:val="00125C"/>
        </w:rPr>
        <w:t>Action framework:</w:t>
      </w:r>
    </w:p>
    <w:p w14:paraId="3E2F38CB" w14:textId="77777777" w:rsidR="00FB06F0" w:rsidRPr="003A44AF" w:rsidRDefault="004F253D">
      <w:pPr>
        <w:pStyle w:val="Textoindependiente"/>
        <w:spacing w:before="115" w:line="276" w:lineRule="auto"/>
        <w:ind w:left="470" w:right="25" w:hanging="10"/>
        <w:jc w:val="both"/>
      </w:pPr>
      <w:r w:rsidRPr="003A44AF">
        <w:rPr>
          <w:color w:val="0E1115"/>
        </w:rPr>
        <w:t xml:space="preserve">The Great Forests of Mesoamerica Programme (GFMP), promoted by the European Union, brings together the coordinated efforts of the European Union (EU) institutions and four Member States (Germany, Spain, France and Sweden) in the framework of the Global Gateway agenda (2021-2027), guaranteeing results with a transformative impact for the countries and the region. The Programme aims to </w:t>
      </w:r>
      <w:r w:rsidRPr="003A44AF">
        <w:rPr>
          <w:b/>
          <w:color w:val="0E1115"/>
        </w:rPr>
        <w:t xml:space="preserve">improve the protection and sustainable use of these forests </w:t>
      </w:r>
      <w:r w:rsidRPr="003A44AF">
        <w:rPr>
          <w:color w:val="0E1115"/>
        </w:rPr>
        <w:t>and other relevant forest areas in the region.</w:t>
      </w:r>
    </w:p>
    <w:p w14:paraId="34A2A035" w14:textId="77777777" w:rsidR="00FB06F0" w:rsidRPr="003A44AF" w:rsidRDefault="004F253D">
      <w:pPr>
        <w:pStyle w:val="Textoindependiente"/>
        <w:spacing w:before="142" w:line="300" w:lineRule="auto"/>
        <w:ind w:left="470" w:right="23" w:hanging="10"/>
        <w:jc w:val="both"/>
      </w:pPr>
      <w:r w:rsidRPr="003A44AF">
        <w:t xml:space="preserve">Within the GFMP, the Spanish Agency for International Development Cooperation (AECID, as per its Spanish acronym), through a Contribution Agreement with the EU (NDCI LA/2023/448-967) is responsible for outcomes 1.1 and 2.1 and </w:t>
      </w:r>
      <w:r w:rsidRPr="003A44AF">
        <w:rPr>
          <w:color w:val="0E1115"/>
        </w:rPr>
        <w:t>implements actions for the use of data in decision-making, forest governance, conservation and restoration of biodiversity and ecological connectivity</w:t>
      </w:r>
      <w:r w:rsidRPr="003A44AF">
        <w:t>.</w:t>
      </w:r>
    </w:p>
    <w:p w14:paraId="5DE8F0A3" w14:textId="77777777" w:rsidR="00FB06F0" w:rsidRPr="003A44AF" w:rsidRDefault="004F253D">
      <w:pPr>
        <w:spacing w:before="92" w:line="276" w:lineRule="auto"/>
        <w:ind w:left="470" w:right="24" w:hanging="10"/>
        <w:jc w:val="both"/>
        <w:rPr>
          <w:b/>
          <w:sz w:val="20"/>
        </w:rPr>
      </w:pPr>
      <w:r w:rsidRPr="003A44AF">
        <w:rPr>
          <w:color w:val="0E1115"/>
          <w:sz w:val="20"/>
        </w:rPr>
        <w:t xml:space="preserve">This call for projects falls under outcome 2.1: </w:t>
      </w:r>
      <w:r w:rsidRPr="003A44AF">
        <w:rPr>
          <w:b/>
          <w:color w:val="0E1115"/>
          <w:sz w:val="20"/>
        </w:rPr>
        <w:t xml:space="preserve">“The region strengthens transformative multi-country and multi-stakeholder initiatives for forest governance, conservation, biodiversity restoration and ecological connectivity in the Great Forests of Mesoamerica and the </w:t>
      </w:r>
      <w:proofErr w:type="spellStart"/>
      <w:r w:rsidRPr="003A44AF">
        <w:rPr>
          <w:b/>
          <w:color w:val="0E1115"/>
          <w:sz w:val="20"/>
        </w:rPr>
        <w:t>Trifinio</w:t>
      </w:r>
      <w:proofErr w:type="spellEnd"/>
      <w:r w:rsidRPr="003A44AF">
        <w:rPr>
          <w:b/>
          <w:color w:val="0E1115"/>
          <w:sz w:val="20"/>
        </w:rPr>
        <w:t>.”</w:t>
      </w:r>
    </w:p>
    <w:p w14:paraId="4C647FD2" w14:textId="23E45E4B" w:rsidR="00FB06F0" w:rsidRPr="003A44AF" w:rsidRDefault="004F253D">
      <w:pPr>
        <w:pStyle w:val="Textoindependiente"/>
        <w:spacing w:before="143" w:line="316" w:lineRule="auto"/>
        <w:ind w:left="470" w:right="25"/>
        <w:jc w:val="both"/>
      </w:pPr>
      <w:r w:rsidRPr="003A44AF">
        <w:t>The responsible authority for this call for proposals is the Spanish Agency for International Development Cooperation (AECID). The selected projects will receive a monetary grant as established in Royal Decree</w:t>
      </w:r>
      <w:r w:rsidR="007F0102" w:rsidRPr="003A44AF">
        <w:t xml:space="preserve"> </w:t>
      </w:r>
      <w:hyperlink w:anchor="_bookmark0" w:history="1">
        <w:r w:rsidRPr="003A44AF">
          <w:t>188/2025</w:t>
        </w:r>
        <w:r w:rsidR="007F0102" w:rsidRPr="003A44AF">
          <w:rPr>
            <w:rStyle w:val="Refdenotaalpie"/>
          </w:rPr>
          <w:footnoteReference w:id="1"/>
        </w:r>
      </w:hyperlink>
      <w:r w:rsidRPr="003A44AF">
        <w:t xml:space="preserve"> of 11 March</w:t>
      </w:r>
      <w:hyperlink w:anchor="_bookmark0" w:history="1">
        <w:r w:rsidRPr="003A44AF">
          <w:t>,</w:t>
        </w:r>
      </w:hyperlink>
      <w:r w:rsidRPr="003A44AF">
        <w:t xml:space="preserve"> which regulates subsidies and aid in the field of cooperation for sustainable development and global solidarity, Act 38/2003 of 17 November, General Law on Subsidies, and its Regulation, approved by Royal Decree</w:t>
      </w:r>
      <w:r w:rsidR="007F0102" w:rsidRPr="003A44AF">
        <w:t xml:space="preserve"> </w:t>
      </w:r>
      <w:hyperlink w:anchor="_bookmark1" w:history="1">
        <w:r w:rsidRPr="003A44AF">
          <w:t>887/2006</w:t>
        </w:r>
      </w:hyperlink>
      <w:r w:rsidR="003A44AF">
        <w:rPr>
          <w:rStyle w:val="Refdenotaalpie"/>
        </w:rPr>
        <w:footnoteReference w:id="2"/>
      </w:r>
      <w:r w:rsidRPr="003A44AF">
        <w:t xml:space="preserve"> </w:t>
      </w:r>
      <w:hyperlink w:anchor="_bookmark1" w:history="1">
        <w:r w:rsidRPr="003A44AF">
          <w:t>of</w:t>
        </w:r>
      </w:hyperlink>
      <w:r w:rsidRPr="003A44AF">
        <w:t xml:space="preserve"> 21 July.</w:t>
      </w:r>
    </w:p>
    <w:p w14:paraId="468876A0" w14:textId="77777777" w:rsidR="00FB06F0" w:rsidRPr="003A44AF" w:rsidRDefault="00FB06F0">
      <w:pPr>
        <w:pStyle w:val="Textoindependiente"/>
        <w:spacing w:before="220"/>
      </w:pPr>
    </w:p>
    <w:p w14:paraId="7C3BC212" w14:textId="77777777" w:rsidR="00FB06F0" w:rsidRPr="00EB545C" w:rsidRDefault="004F253D">
      <w:pPr>
        <w:pStyle w:val="Ttulo1"/>
        <w:numPr>
          <w:ilvl w:val="0"/>
          <w:numId w:val="5"/>
        </w:numPr>
        <w:tabs>
          <w:tab w:val="left" w:pos="546"/>
        </w:tabs>
        <w:ind w:left="546" w:hanging="349"/>
        <w:rPr>
          <w:b w:val="0"/>
          <w:color w:val="00125C"/>
        </w:rPr>
      </w:pPr>
      <w:r w:rsidRPr="00EB545C">
        <w:rPr>
          <w:b w:val="0"/>
          <w:color w:val="00125C"/>
        </w:rPr>
        <w:t>Purpose of this call</w:t>
      </w:r>
    </w:p>
    <w:p w14:paraId="1B91269A" w14:textId="77777777" w:rsidR="00FB06F0" w:rsidRPr="003A44AF" w:rsidRDefault="004F253D">
      <w:pPr>
        <w:spacing w:before="138" w:line="273" w:lineRule="auto"/>
        <w:ind w:left="470" w:right="25"/>
        <w:jc w:val="both"/>
        <w:rPr>
          <w:sz w:val="20"/>
        </w:rPr>
      </w:pPr>
      <w:r w:rsidRPr="003A44AF">
        <w:rPr>
          <w:sz w:val="20"/>
        </w:rPr>
        <w:t>To identify projects that include transformative initiatives that contribute to outcome 2.1, with the mission to "improve governance mechanisms and capacities for biodiversity conservation, forest governance, biodiversity restoration and ecological connectivity in the Great Forests of Mesoamerica".</w:t>
      </w:r>
    </w:p>
    <w:p w14:paraId="0F6C35A6" w14:textId="77777777" w:rsidR="007F0102" w:rsidRDefault="007F0102" w:rsidP="007F0102">
      <w:pPr>
        <w:rPr>
          <w:sz w:val="20"/>
          <w:szCs w:val="20"/>
        </w:rPr>
      </w:pPr>
    </w:p>
    <w:p w14:paraId="596730BB" w14:textId="77777777" w:rsidR="007F0102" w:rsidRPr="007F0102" w:rsidRDefault="007F0102" w:rsidP="007F0102">
      <w:pPr>
        <w:sectPr w:rsidR="007F0102" w:rsidRPr="007F0102">
          <w:headerReference w:type="default" r:id="rId8"/>
          <w:footerReference w:type="default" r:id="rId9"/>
          <w:type w:val="continuous"/>
          <w:pgSz w:w="12240" w:h="15840"/>
          <w:pgMar w:top="1340" w:right="1440" w:bottom="280" w:left="1080" w:header="720" w:footer="720" w:gutter="0"/>
          <w:cols w:space="720"/>
        </w:sectPr>
      </w:pPr>
    </w:p>
    <w:p w14:paraId="66C55251" w14:textId="3786F354" w:rsidR="00FB06F0" w:rsidRPr="00EB545C" w:rsidRDefault="004F253D">
      <w:pPr>
        <w:pStyle w:val="Textoindependiente"/>
        <w:spacing w:before="99" w:line="316" w:lineRule="auto"/>
        <w:ind w:left="470" w:right="22"/>
        <w:jc w:val="both"/>
      </w:pPr>
      <w:r w:rsidRPr="00EB545C">
        <w:lastRenderedPageBreak/>
        <w:t>AECID calls for Latin American entities, whether of a local, national or regional scope, to submit proposals for projects with expected results in the Great Forests of Mesoamerica, with emphasis on those defined in the territorial scope of this call.</w:t>
      </w:r>
    </w:p>
    <w:p w14:paraId="3AF3EC35" w14:textId="77777777" w:rsidR="00FB06F0" w:rsidRPr="00EB545C" w:rsidRDefault="004F253D">
      <w:pPr>
        <w:pStyle w:val="Ttulo1"/>
        <w:numPr>
          <w:ilvl w:val="0"/>
          <w:numId w:val="5"/>
        </w:numPr>
        <w:tabs>
          <w:tab w:val="left" w:pos="546"/>
        </w:tabs>
        <w:spacing w:before="19"/>
        <w:ind w:left="546" w:hanging="349"/>
        <w:rPr>
          <w:b w:val="0"/>
          <w:color w:val="00125C"/>
        </w:rPr>
      </w:pPr>
      <w:r w:rsidRPr="00EB545C">
        <w:rPr>
          <w:b w:val="0"/>
          <w:color w:val="00125C"/>
        </w:rPr>
        <w:t>Scope of the call</w:t>
      </w:r>
    </w:p>
    <w:p w14:paraId="3AB96D9E" w14:textId="77777777" w:rsidR="00FB06F0" w:rsidRPr="003A44AF" w:rsidRDefault="004F253D">
      <w:pPr>
        <w:pStyle w:val="Textoindependiente"/>
        <w:spacing w:before="108" w:line="312" w:lineRule="auto"/>
        <w:ind w:left="490" w:right="24" w:hanging="10"/>
        <w:jc w:val="both"/>
      </w:pPr>
      <w:r w:rsidRPr="003A44AF">
        <w:t>Funding: Funding will be provided for 4-6 projects between 200,000 and 350,000 euros. The total amount made available under this call for projects is EUR 1,200,000. AECID reserves the right not to allocate all available funds. Selected projects will be eligible for funding of 100% of the eligible costs of the project budget. A counterpart contribution would be an asset.</w:t>
      </w:r>
    </w:p>
    <w:p w14:paraId="76AF215C" w14:textId="77777777" w:rsidR="00FB06F0" w:rsidRPr="003A44AF" w:rsidRDefault="004F253D">
      <w:pPr>
        <w:pStyle w:val="Textoindependiente"/>
        <w:spacing w:before="91" w:line="304" w:lineRule="auto"/>
        <w:ind w:left="490" w:right="22" w:hanging="10"/>
        <w:jc w:val="both"/>
      </w:pPr>
      <w:r w:rsidRPr="003A44AF">
        <w:t xml:space="preserve">Territorial scope: Projects with expected outcomes and impacts on the following forests will be selected. Proposals with expected impacts in the </w:t>
      </w:r>
      <w:proofErr w:type="spellStart"/>
      <w:r w:rsidRPr="003A44AF">
        <w:t>Trifinio</w:t>
      </w:r>
      <w:proofErr w:type="spellEnd"/>
      <w:r w:rsidRPr="003A44AF">
        <w:t xml:space="preserve"> and Darién may be received, but will not be evaluated as a priority.</w:t>
      </w:r>
    </w:p>
    <w:p w14:paraId="379FB3E5" w14:textId="77777777" w:rsidR="00FB06F0" w:rsidRPr="003A44AF" w:rsidRDefault="004F253D">
      <w:pPr>
        <w:pStyle w:val="Prrafodelista"/>
        <w:numPr>
          <w:ilvl w:val="1"/>
          <w:numId w:val="5"/>
        </w:numPr>
        <w:tabs>
          <w:tab w:val="left" w:pos="1046"/>
        </w:tabs>
        <w:spacing w:before="127"/>
        <w:ind w:hanging="355"/>
        <w:rPr>
          <w:sz w:val="20"/>
          <w:szCs w:val="20"/>
        </w:rPr>
      </w:pPr>
      <w:r w:rsidRPr="003A44AF">
        <w:rPr>
          <w:sz w:val="20"/>
          <w:szCs w:val="20"/>
        </w:rPr>
        <w:t>Maya Forest (Belize)</w:t>
      </w:r>
    </w:p>
    <w:p w14:paraId="04C51A35" w14:textId="1727A6B8" w:rsidR="00FB06F0" w:rsidRPr="003A44AF" w:rsidRDefault="004F253D">
      <w:pPr>
        <w:pStyle w:val="Prrafodelista"/>
        <w:numPr>
          <w:ilvl w:val="1"/>
          <w:numId w:val="5"/>
        </w:numPr>
        <w:tabs>
          <w:tab w:val="left" w:pos="1046"/>
        </w:tabs>
        <w:spacing w:before="76"/>
        <w:ind w:hanging="355"/>
        <w:rPr>
          <w:sz w:val="20"/>
          <w:szCs w:val="20"/>
        </w:rPr>
      </w:pPr>
      <w:r w:rsidRPr="003A44AF">
        <w:rPr>
          <w:sz w:val="20"/>
          <w:szCs w:val="20"/>
        </w:rPr>
        <w:t>Maya Forest (Belize and Guatemala</w:t>
      </w:r>
      <w:r w:rsidR="003A44AF">
        <w:rPr>
          <w:rStyle w:val="Refdenotaalpie"/>
          <w:sz w:val="20"/>
          <w:szCs w:val="20"/>
        </w:rPr>
        <w:footnoteReference w:id="3"/>
      </w:r>
      <w:r w:rsidRPr="003A44AF">
        <w:rPr>
          <w:sz w:val="20"/>
          <w:szCs w:val="20"/>
        </w:rPr>
        <w:t xml:space="preserve"> with cross-border emphasis)</w:t>
      </w:r>
    </w:p>
    <w:p w14:paraId="188B17B5" w14:textId="77777777" w:rsidR="00FB06F0" w:rsidRPr="003A44AF" w:rsidRDefault="004F253D">
      <w:pPr>
        <w:pStyle w:val="Prrafodelista"/>
        <w:numPr>
          <w:ilvl w:val="1"/>
          <w:numId w:val="5"/>
        </w:numPr>
        <w:tabs>
          <w:tab w:val="left" w:pos="1046"/>
        </w:tabs>
        <w:spacing w:before="77"/>
        <w:ind w:hanging="355"/>
        <w:rPr>
          <w:sz w:val="20"/>
          <w:szCs w:val="20"/>
        </w:rPr>
      </w:pPr>
      <w:r w:rsidRPr="003A44AF">
        <w:rPr>
          <w:sz w:val="20"/>
          <w:szCs w:val="20"/>
        </w:rPr>
        <w:t>La Mosquitia (Honduras)</w:t>
      </w:r>
    </w:p>
    <w:p w14:paraId="2B1933ED" w14:textId="77777777" w:rsidR="00FB06F0" w:rsidRPr="003A44AF" w:rsidRDefault="004F253D">
      <w:pPr>
        <w:pStyle w:val="Prrafodelista"/>
        <w:numPr>
          <w:ilvl w:val="1"/>
          <w:numId w:val="5"/>
        </w:numPr>
        <w:tabs>
          <w:tab w:val="left" w:pos="1046"/>
        </w:tabs>
        <w:spacing w:before="79"/>
        <w:ind w:hanging="355"/>
        <w:rPr>
          <w:sz w:val="20"/>
          <w:szCs w:val="20"/>
        </w:rPr>
      </w:pPr>
      <w:r w:rsidRPr="003A44AF">
        <w:rPr>
          <w:sz w:val="20"/>
          <w:szCs w:val="20"/>
        </w:rPr>
        <w:t>Tortuguero (Costa Rica)</w:t>
      </w:r>
    </w:p>
    <w:p w14:paraId="00E9D548" w14:textId="77777777" w:rsidR="00FB06F0" w:rsidRPr="003A44AF" w:rsidRDefault="004F253D">
      <w:pPr>
        <w:pStyle w:val="Prrafodelista"/>
        <w:numPr>
          <w:ilvl w:val="1"/>
          <w:numId w:val="5"/>
        </w:numPr>
        <w:tabs>
          <w:tab w:val="left" w:pos="1046"/>
        </w:tabs>
        <w:spacing w:before="76"/>
        <w:ind w:hanging="355"/>
        <w:rPr>
          <w:sz w:val="20"/>
          <w:szCs w:val="20"/>
          <w:lang w:val="es-ES"/>
        </w:rPr>
      </w:pPr>
      <w:r w:rsidRPr="003A44AF">
        <w:rPr>
          <w:sz w:val="20"/>
          <w:szCs w:val="20"/>
          <w:lang w:val="es-ES"/>
        </w:rPr>
        <w:t>La Amistad (Costa Rica and Panama)</w:t>
      </w:r>
    </w:p>
    <w:p w14:paraId="25A7D7E4" w14:textId="77777777" w:rsidR="00FB06F0" w:rsidRPr="003A44AF" w:rsidRDefault="004F253D">
      <w:pPr>
        <w:pStyle w:val="Ttulo4"/>
        <w:rPr>
          <w:rFonts w:ascii="Lucida Sans" w:hAnsi="Lucida Sans"/>
          <w:b w:val="0"/>
          <w:sz w:val="20"/>
          <w:szCs w:val="20"/>
        </w:rPr>
      </w:pPr>
      <w:r w:rsidRPr="003A44AF">
        <w:rPr>
          <w:rFonts w:ascii="Lucida Sans" w:hAnsi="Lucida Sans"/>
          <w:b w:val="0"/>
          <w:sz w:val="20"/>
          <w:szCs w:val="20"/>
        </w:rPr>
        <w:t>Thematic scope and priorities:</w:t>
      </w:r>
    </w:p>
    <w:p w14:paraId="33120A2A" w14:textId="77777777" w:rsidR="00FB06F0" w:rsidRPr="003A44AF" w:rsidRDefault="004F253D">
      <w:pPr>
        <w:spacing w:before="159" w:line="266" w:lineRule="auto"/>
        <w:ind w:left="490" w:right="22" w:hanging="10"/>
        <w:jc w:val="both"/>
        <w:rPr>
          <w:sz w:val="20"/>
          <w:szCs w:val="20"/>
        </w:rPr>
      </w:pPr>
      <w:r w:rsidRPr="003A44AF">
        <w:rPr>
          <w:sz w:val="20"/>
          <w:szCs w:val="20"/>
        </w:rPr>
        <w:t>The expected goal of the projects is to finance transformative initiatives to strengthen and/or improve governance mechanisms and capacities for biodiversity conservation, forest governance, biodiversity restoration and ecological connectivity in the Great Forests of Mesoamerica.</w:t>
      </w:r>
    </w:p>
    <w:p w14:paraId="561CC569" w14:textId="77777777" w:rsidR="00FB06F0" w:rsidRPr="003A44AF" w:rsidRDefault="004F253D">
      <w:pPr>
        <w:pStyle w:val="Textoindependiente"/>
        <w:spacing w:before="147" w:line="316" w:lineRule="auto"/>
        <w:ind w:left="490" w:right="27" w:hanging="10"/>
        <w:jc w:val="both"/>
      </w:pPr>
      <w:r w:rsidRPr="003A44AF">
        <w:t>Projects shall be submitted in Window A or B with the items defined below and guided by the activities defined in Tables 1 and 2, as applicable.</w:t>
      </w:r>
    </w:p>
    <w:p w14:paraId="28CE2EAA" w14:textId="77777777" w:rsidR="00FB06F0" w:rsidRPr="003A44AF" w:rsidRDefault="004F253D">
      <w:pPr>
        <w:pStyle w:val="Textoindependiente"/>
        <w:spacing w:before="98" w:line="304" w:lineRule="auto"/>
        <w:ind w:left="490" w:right="33" w:hanging="10"/>
        <w:jc w:val="both"/>
      </w:pPr>
      <w:r w:rsidRPr="003A44AF">
        <w:t>Items: governance for biodiversity conservation, forest governance, governance for biodiversity restoration and ecological connectivity, capacity building for governance, multi-stakeholder and multi-level governance.</w:t>
      </w:r>
    </w:p>
    <w:p w14:paraId="08E105EE" w14:textId="77777777" w:rsidR="00FB06F0" w:rsidRPr="003A44AF" w:rsidRDefault="004F253D">
      <w:pPr>
        <w:pStyle w:val="Prrafodelista"/>
        <w:numPr>
          <w:ilvl w:val="1"/>
          <w:numId w:val="5"/>
        </w:numPr>
        <w:tabs>
          <w:tab w:val="left" w:pos="1046"/>
        </w:tabs>
        <w:spacing w:before="102" w:line="304" w:lineRule="auto"/>
        <w:ind w:right="25"/>
        <w:jc w:val="both"/>
        <w:rPr>
          <w:sz w:val="20"/>
          <w:szCs w:val="20"/>
        </w:rPr>
      </w:pPr>
      <w:r w:rsidRPr="003A44AF">
        <w:rPr>
          <w:sz w:val="20"/>
          <w:szCs w:val="20"/>
        </w:rPr>
        <w:t>Window A: aimed at supporting governments and relevant public institutions in the management of forests and protected areas. See details of priority activities (table 1)</w:t>
      </w:r>
    </w:p>
    <w:p w14:paraId="3BAD2A97" w14:textId="77777777" w:rsidR="00FB06F0" w:rsidRPr="003A44AF" w:rsidRDefault="004F253D">
      <w:pPr>
        <w:pStyle w:val="Prrafodelista"/>
        <w:numPr>
          <w:ilvl w:val="1"/>
          <w:numId w:val="5"/>
        </w:numPr>
        <w:tabs>
          <w:tab w:val="left" w:pos="1046"/>
        </w:tabs>
        <w:spacing w:line="267" w:lineRule="exact"/>
        <w:ind w:hanging="355"/>
        <w:jc w:val="both"/>
        <w:rPr>
          <w:sz w:val="20"/>
          <w:szCs w:val="20"/>
        </w:rPr>
      </w:pPr>
      <w:r w:rsidRPr="003A44AF">
        <w:rPr>
          <w:sz w:val="20"/>
          <w:szCs w:val="20"/>
        </w:rPr>
        <w:t xml:space="preserve">Window B: oriented towards supporting indigenous peoples and local communities </w:t>
      </w:r>
    </w:p>
    <w:p w14:paraId="7D47C65B" w14:textId="77777777" w:rsidR="00FB06F0" w:rsidRPr="003A44AF" w:rsidRDefault="004F253D">
      <w:pPr>
        <w:pStyle w:val="Textoindependiente"/>
        <w:spacing w:before="57" w:line="316" w:lineRule="auto"/>
        <w:ind w:left="1046" w:right="28"/>
        <w:jc w:val="both"/>
      </w:pPr>
      <w:r w:rsidRPr="003A44AF">
        <w:t>legitimated for the management of the forests or territories where the projects will be developed (table 2).</w:t>
      </w:r>
    </w:p>
    <w:p w14:paraId="459199A7" w14:textId="77777777" w:rsidR="00FB06F0" w:rsidRPr="003A44AF" w:rsidRDefault="004F253D">
      <w:pPr>
        <w:pStyle w:val="Textoindependiente"/>
        <w:spacing w:before="124" w:line="319" w:lineRule="auto"/>
        <w:ind w:left="490" w:right="23" w:hanging="10"/>
        <w:jc w:val="both"/>
      </w:pPr>
      <w:r w:rsidRPr="003A44AF">
        <w:t>While the main emphasis of each window implies a working focus led by actors (public or indigenous peoples), recognising their differentiated competences, it is expected that the</w:t>
      </w:r>
    </w:p>
    <w:p w14:paraId="7DC07A99" w14:textId="27B55871" w:rsidR="00FB06F0" w:rsidRPr="00EB545C" w:rsidRDefault="00FB06F0">
      <w:pPr>
        <w:pStyle w:val="Textoindependiente"/>
        <w:spacing w:before="51"/>
      </w:pPr>
    </w:p>
    <w:p w14:paraId="2963EAA9" w14:textId="147B421D" w:rsidR="00FB06F0" w:rsidRPr="00EB545C" w:rsidRDefault="00FB06F0">
      <w:pPr>
        <w:pStyle w:val="Textoindependiente"/>
        <w:spacing w:before="118"/>
        <w:ind w:left="448"/>
        <w:jc w:val="center"/>
      </w:pPr>
      <w:bookmarkStart w:id="0" w:name="_bookmark2"/>
      <w:bookmarkEnd w:id="0"/>
    </w:p>
    <w:p w14:paraId="792E24AA" w14:textId="77777777" w:rsidR="00FB06F0" w:rsidRPr="00EB545C" w:rsidRDefault="00FB06F0">
      <w:pPr>
        <w:pStyle w:val="Textoindependiente"/>
        <w:jc w:val="center"/>
        <w:sectPr w:rsidR="00FB06F0" w:rsidRPr="00EB545C" w:rsidSect="007F0102">
          <w:pgSz w:w="12240" w:h="15840"/>
          <w:pgMar w:top="1340" w:right="1440" w:bottom="280" w:left="567" w:header="720" w:footer="720" w:gutter="0"/>
          <w:cols w:space="720"/>
        </w:sectPr>
      </w:pPr>
    </w:p>
    <w:p w14:paraId="7A4194B3" w14:textId="4FB839FD" w:rsidR="00FB06F0" w:rsidRPr="00EB545C" w:rsidRDefault="004F253D">
      <w:pPr>
        <w:pStyle w:val="Textoindependiente"/>
        <w:spacing w:before="99" w:line="319" w:lineRule="auto"/>
        <w:ind w:left="490"/>
      </w:pPr>
      <w:r w:rsidRPr="00EB545C">
        <w:lastRenderedPageBreak/>
        <w:t>projects are implemented with an emphasis on participation and good governance, involving public, private and civil society actors where appropriate.</w:t>
      </w:r>
    </w:p>
    <w:p w14:paraId="3669BB21" w14:textId="77777777" w:rsidR="00FB06F0" w:rsidRPr="00EB545C" w:rsidRDefault="00FB06F0">
      <w:pPr>
        <w:pStyle w:val="Textoindependiente"/>
        <w:spacing w:before="80"/>
      </w:pPr>
    </w:p>
    <w:p w14:paraId="113CAD6B" w14:textId="77777777" w:rsidR="00FB06F0" w:rsidRPr="00EB545C" w:rsidRDefault="004F253D">
      <w:pPr>
        <w:pStyle w:val="Textoindependiente"/>
        <w:spacing w:after="35"/>
        <w:ind w:left="622"/>
      </w:pPr>
      <w:r w:rsidRPr="00EB545C">
        <w:rPr>
          <w:rFonts w:ascii="Arial Black"/>
        </w:rPr>
        <w:t xml:space="preserve">Table 1. </w:t>
      </w:r>
      <w:r w:rsidRPr="00EB545C">
        <w:t>Details of eligible activities, window A.</w:t>
      </w: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2"/>
      </w:tblGrid>
      <w:tr w:rsidR="00FB06F0" w:rsidRPr="00EB545C" w14:paraId="3CB26D72" w14:textId="77777777">
        <w:trPr>
          <w:trHeight w:val="628"/>
        </w:trPr>
        <w:tc>
          <w:tcPr>
            <w:tcW w:w="8932" w:type="dxa"/>
            <w:shd w:val="clear" w:color="auto" w:fill="D0CECE"/>
          </w:tcPr>
          <w:p w14:paraId="5FD59FD6" w14:textId="77777777" w:rsidR="00FB06F0" w:rsidRPr="00EB545C" w:rsidRDefault="004F253D">
            <w:pPr>
              <w:pStyle w:val="TableParagraph"/>
              <w:spacing w:before="6"/>
              <w:ind w:left="107"/>
              <w:rPr>
                <w:sz w:val="18"/>
                <w:szCs w:val="20"/>
              </w:rPr>
            </w:pPr>
            <w:r w:rsidRPr="00EB545C">
              <w:rPr>
                <w:rFonts w:ascii="Arial Black" w:hAnsi="Arial Black"/>
                <w:sz w:val="18"/>
                <w:szCs w:val="20"/>
              </w:rPr>
              <w:t xml:space="preserve">WINDOW A. </w:t>
            </w:r>
            <w:r w:rsidRPr="00EB545C">
              <w:rPr>
                <w:sz w:val="18"/>
                <w:szCs w:val="20"/>
              </w:rPr>
              <w:t>In support of governments and public institutions competent in the area of</w:t>
            </w:r>
          </w:p>
          <w:p w14:paraId="2161B6E7" w14:textId="77777777" w:rsidR="00FB06F0" w:rsidRPr="00EB545C" w:rsidRDefault="004F253D">
            <w:pPr>
              <w:pStyle w:val="TableParagraph"/>
              <w:spacing w:before="63"/>
              <w:ind w:left="117"/>
              <w:rPr>
                <w:sz w:val="18"/>
                <w:szCs w:val="20"/>
              </w:rPr>
            </w:pPr>
            <w:r w:rsidRPr="00EB545C">
              <w:rPr>
                <w:sz w:val="18"/>
                <w:szCs w:val="20"/>
              </w:rPr>
              <w:t>management of forests and protected areas.</w:t>
            </w:r>
          </w:p>
        </w:tc>
      </w:tr>
      <w:tr w:rsidR="00FB06F0" w:rsidRPr="00EB545C" w14:paraId="1C5FD305" w14:textId="77777777">
        <w:trPr>
          <w:trHeight w:val="803"/>
        </w:trPr>
        <w:tc>
          <w:tcPr>
            <w:tcW w:w="8932" w:type="dxa"/>
          </w:tcPr>
          <w:p w14:paraId="241D8ABA" w14:textId="77777777" w:rsidR="00FB06F0" w:rsidRPr="00EB545C" w:rsidRDefault="004F253D">
            <w:pPr>
              <w:pStyle w:val="TableParagraph"/>
              <w:spacing w:before="0" w:line="232" w:lineRule="auto"/>
              <w:ind w:left="107" w:right="97"/>
              <w:jc w:val="both"/>
              <w:rPr>
                <w:rFonts w:ascii="Arial Black" w:hAnsi="Arial Black"/>
                <w:sz w:val="18"/>
                <w:szCs w:val="20"/>
              </w:rPr>
            </w:pPr>
            <w:r w:rsidRPr="00EB545C">
              <w:rPr>
                <w:rFonts w:ascii="Arial Black" w:hAnsi="Arial Black"/>
                <w:sz w:val="18"/>
                <w:szCs w:val="20"/>
              </w:rPr>
              <w:t>Improving and harmonising institutional and policy frameworks to discourage drivers of deforestation and promote forest conservation and sustainable use of biodiversity.</w:t>
            </w:r>
          </w:p>
        </w:tc>
      </w:tr>
      <w:tr w:rsidR="00FB06F0" w:rsidRPr="00EB545C" w14:paraId="639D038F" w14:textId="77777777">
        <w:trPr>
          <w:trHeight w:val="258"/>
        </w:trPr>
        <w:tc>
          <w:tcPr>
            <w:tcW w:w="8932" w:type="dxa"/>
          </w:tcPr>
          <w:p w14:paraId="232F2B4E" w14:textId="77777777" w:rsidR="00FB06F0" w:rsidRPr="00EB545C" w:rsidRDefault="004F253D">
            <w:pPr>
              <w:pStyle w:val="TableParagraph"/>
              <w:spacing w:line="219" w:lineRule="exact"/>
              <w:rPr>
                <w:sz w:val="18"/>
                <w:szCs w:val="20"/>
              </w:rPr>
            </w:pPr>
            <w:r w:rsidRPr="00EB545C">
              <w:rPr>
                <w:sz w:val="18"/>
                <w:szCs w:val="20"/>
              </w:rPr>
              <w:t>Providing regulatory frameworks for the protection of forest heritage.</w:t>
            </w:r>
          </w:p>
        </w:tc>
      </w:tr>
      <w:tr w:rsidR="00FB06F0" w:rsidRPr="00EB545C" w14:paraId="6F1F7517" w14:textId="77777777">
        <w:trPr>
          <w:trHeight w:val="259"/>
        </w:trPr>
        <w:tc>
          <w:tcPr>
            <w:tcW w:w="8932" w:type="dxa"/>
          </w:tcPr>
          <w:p w14:paraId="199E75F2" w14:textId="77777777" w:rsidR="00FB06F0" w:rsidRPr="00EB545C" w:rsidRDefault="004F253D">
            <w:pPr>
              <w:pStyle w:val="TableParagraph"/>
              <w:spacing w:line="219" w:lineRule="exact"/>
              <w:rPr>
                <w:sz w:val="18"/>
                <w:szCs w:val="20"/>
              </w:rPr>
            </w:pPr>
            <w:r w:rsidRPr="00EB545C">
              <w:rPr>
                <w:sz w:val="18"/>
                <w:szCs w:val="20"/>
              </w:rPr>
              <w:t>Empowerment of institutional and local actors by promoting horizontal exchanges.</w:t>
            </w:r>
          </w:p>
        </w:tc>
      </w:tr>
      <w:tr w:rsidR="00FB06F0" w:rsidRPr="00EB545C" w14:paraId="712CAC5F" w14:textId="77777777">
        <w:trPr>
          <w:trHeight w:val="515"/>
        </w:trPr>
        <w:tc>
          <w:tcPr>
            <w:tcW w:w="8932" w:type="dxa"/>
          </w:tcPr>
          <w:p w14:paraId="24DBEBB1" w14:textId="77777777" w:rsidR="00FB06F0" w:rsidRPr="00EB545C" w:rsidRDefault="004F253D">
            <w:pPr>
              <w:pStyle w:val="TableParagraph"/>
              <w:rPr>
                <w:sz w:val="18"/>
                <w:szCs w:val="20"/>
              </w:rPr>
            </w:pPr>
            <w:r w:rsidRPr="00EB545C">
              <w:rPr>
                <w:sz w:val="18"/>
                <w:szCs w:val="20"/>
              </w:rPr>
              <w:t>Meetings between cross-border actors to develop a cross-border approach</w:t>
            </w:r>
          </w:p>
          <w:p w14:paraId="23EDB45A" w14:textId="77777777" w:rsidR="00FB06F0" w:rsidRPr="00EB545C" w:rsidRDefault="004F253D">
            <w:pPr>
              <w:pStyle w:val="TableParagraph"/>
              <w:spacing w:before="33" w:line="219" w:lineRule="exact"/>
              <w:rPr>
                <w:sz w:val="18"/>
                <w:szCs w:val="20"/>
              </w:rPr>
            </w:pPr>
            <w:r w:rsidRPr="00EB545C">
              <w:rPr>
                <w:sz w:val="18"/>
                <w:szCs w:val="20"/>
              </w:rPr>
              <w:t>with the goal of developing a shared approach to the management of forest ecosystems, whether national, bi- or tri-national.</w:t>
            </w:r>
          </w:p>
        </w:tc>
      </w:tr>
      <w:tr w:rsidR="00FB06F0" w:rsidRPr="00EB545C" w14:paraId="26E4FA2F" w14:textId="77777777">
        <w:trPr>
          <w:trHeight w:val="299"/>
        </w:trPr>
        <w:tc>
          <w:tcPr>
            <w:tcW w:w="8932" w:type="dxa"/>
          </w:tcPr>
          <w:p w14:paraId="59DDA3E2" w14:textId="77777777" w:rsidR="00FB06F0" w:rsidRPr="00EB545C" w:rsidRDefault="004F253D">
            <w:pPr>
              <w:pStyle w:val="TableParagraph"/>
              <w:rPr>
                <w:sz w:val="18"/>
                <w:szCs w:val="20"/>
              </w:rPr>
            </w:pPr>
            <w:r w:rsidRPr="00EB545C">
              <w:rPr>
                <w:sz w:val="18"/>
                <w:szCs w:val="20"/>
              </w:rPr>
              <w:t>Implementation and enforcement of policy frameworks and/or governance mechanisms.</w:t>
            </w:r>
          </w:p>
        </w:tc>
      </w:tr>
      <w:tr w:rsidR="00FB06F0" w:rsidRPr="00EB545C" w14:paraId="1EAC2CB9" w14:textId="77777777">
        <w:trPr>
          <w:trHeight w:val="517"/>
        </w:trPr>
        <w:tc>
          <w:tcPr>
            <w:tcW w:w="8932" w:type="dxa"/>
          </w:tcPr>
          <w:p w14:paraId="395E91D3" w14:textId="77777777" w:rsidR="00FB06F0" w:rsidRPr="00EB545C" w:rsidRDefault="004F253D">
            <w:pPr>
              <w:pStyle w:val="TableParagraph"/>
              <w:spacing w:before="0" w:line="258" w:lineRule="exact"/>
              <w:ind w:left="107"/>
              <w:rPr>
                <w:rFonts w:ascii="Arial Black" w:hAnsi="Arial Black"/>
                <w:sz w:val="18"/>
                <w:szCs w:val="20"/>
              </w:rPr>
            </w:pPr>
            <w:r w:rsidRPr="00EB545C">
              <w:rPr>
                <w:rFonts w:ascii="Arial Black" w:hAnsi="Arial Black"/>
                <w:sz w:val="18"/>
                <w:szCs w:val="20"/>
              </w:rPr>
              <w:t>Strengthening National Protected Area Systems and regional private reserve networks</w:t>
            </w:r>
          </w:p>
          <w:p w14:paraId="7C0D20B1" w14:textId="77777777" w:rsidR="00FB06F0" w:rsidRPr="00EB545C" w:rsidRDefault="004F253D">
            <w:pPr>
              <w:pStyle w:val="TableParagraph"/>
              <w:spacing w:before="0" w:line="240" w:lineRule="exact"/>
              <w:ind w:left="107"/>
              <w:rPr>
                <w:rFonts w:ascii="Arial Black" w:hAnsi="Arial Black"/>
                <w:sz w:val="18"/>
                <w:szCs w:val="20"/>
              </w:rPr>
            </w:pPr>
            <w:r w:rsidRPr="00EB545C">
              <w:rPr>
                <w:rFonts w:ascii="Arial Black" w:hAnsi="Arial Black"/>
                <w:sz w:val="18"/>
                <w:szCs w:val="20"/>
              </w:rPr>
              <w:t>with an emphasis on cross-border approaches</w:t>
            </w:r>
          </w:p>
        </w:tc>
      </w:tr>
      <w:tr w:rsidR="00FB06F0" w:rsidRPr="00EB545C" w14:paraId="038519D4" w14:textId="77777777">
        <w:trPr>
          <w:trHeight w:val="297"/>
        </w:trPr>
        <w:tc>
          <w:tcPr>
            <w:tcW w:w="8932" w:type="dxa"/>
          </w:tcPr>
          <w:p w14:paraId="4E3C89F3" w14:textId="77777777" w:rsidR="00FB06F0" w:rsidRPr="00EB545C" w:rsidRDefault="004F253D">
            <w:pPr>
              <w:pStyle w:val="TableParagraph"/>
              <w:rPr>
                <w:sz w:val="18"/>
                <w:szCs w:val="20"/>
              </w:rPr>
            </w:pPr>
            <w:r w:rsidRPr="00EB545C">
              <w:rPr>
                <w:sz w:val="18"/>
                <w:szCs w:val="20"/>
              </w:rPr>
              <w:t>Assessing the role of protected areas in improving the effectiveness of forest management.</w:t>
            </w:r>
          </w:p>
        </w:tc>
      </w:tr>
      <w:tr w:rsidR="00FB06F0" w:rsidRPr="00EB545C" w14:paraId="43BC190C" w14:textId="77777777">
        <w:trPr>
          <w:trHeight w:val="299"/>
        </w:trPr>
        <w:tc>
          <w:tcPr>
            <w:tcW w:w="8932" w:type="dxa"/>
          </w:tcPr>
          <w:p w14:paraId="243C98BC" w14:textId="77777777" w:rsidR="00FB06F0" w:rsidRPr="00EB545C" w:rsidRDefault="004F253D">
            <w:pPr>
              <w:pStyle w:val="TableParagraph"/>
              <w:rPr>
                <w:sz w:val="18"/>
                <w:szCs w:val="20"/>
              </w:rPr>
            </w:pPr>
            <w:r w:rsidRPr="00EB545C">
              <w:rPr>
                <w:sz w:val="18"/>
                <w:szCs w:val="20"/>
              </w:rPr>
              <w:t>Strengthening cross-border institutional and community mechanisms.</w:t>
            </w:r>
          </w:p>
        </w:tc>
      </w:tr>
      <w:tr w:rsidR="00FB06F0" w:rsidRPr="00EB545C" w14:paraId="4F776D7A" w14:textId="77777777">
        <w:trPr>
          <w:trHeight w:val="297"/>
        </w:trPr>
        <w:tc>
          <w:tcPr>
            <w:tcW w:w="8932" w:type="dxa"/>
          </w:tcPr>
          <w:p w14:paraId="2219B668" w14:textId="77777777" w:rsidR="00FB06F0" w:rsidRPr="00EB545C" w:rsidRDefault="004F253D">
            <w:pPr>
              <w:pStyle w:val="TableParagraph"/>
              <w:rPr>
                <w:sz w:val="18"/>
                <w:szCs w:val="20"/>
              </w:rPr>
            </w:pPr>
            <w:r w:rsidRPr="00EB545C">
              <w:rPr>
                <w:sz w:val="18"/>
                <w:szCs w:val="20"/>
              </w:rPr>
              <w:t>Assessment of conservation figures that can promote connectivity in the Great Forests of Mesoamerica.</w:t>
            </w:r>
          </w:p>
        </w:tc>
      </w:tr>
      <w:tr w:rsidR="00FB06F0" w:rsidRPr="00EB545C" w14:paraId="76E2AE9E" w14:textId="77777777">
        <w:trPr>
          <w:trHeight w:val="541"/>
        </w:trPr>
        <w:tc>
          <w:tcPr>
            <w:tcW w:w="8932" w:type="dxa"/>
          </w:tcPr>
          <w:p w14:paraId="33AFB5EA" w14:textId="77777777" w:rsidR="00FB06F0" w:rsidRPr="00EB545C" w:rsidRDefault="004F253D">
            <w:pPr>
              <w:pStyle w:val="TableParagraph"/>
              <w:spacing w:before="1" w:line="232" w:lineRule="auto"/>
              <w:ind w:left="107"/>
              <w:rPr>
                <w:rFonts w:ascii="Arial Black" w:hAnsi="Arial Black"/>
                <w:sz w:val="18"/>
                <w:szCs w:val="20"/>
              </w:rPr>
            </w:pPr>
            <w:r w:rsidRPr="00EB545C">
              <w:rPr>
                <w:rFonts w:ascii="Arial Black" w:hAnsi="Arial Black"/>
                <w:sz w:val="18"/>
                <w:szCs w:val="20"/>
              </w:rPr>
              <w:t>Awareness-raising and capacity-building in forest governance, sustainable management of biodiversity and ecosystem services and monitoring.</w:t>
            </w:r>
          </w:p>
        </w:tc>
      </w:tr>
      <w:tr w:rsidR="00FB06F0" w:rsidRPr="00EB545C" w14:paraId="08C1964A" w14:textId="77777777">
        <w:trPr>
          <w:trHeight w:val="542"/>
        </w:trPr>
        <w:tc>
          <w:tcPr>
            <w:tcW w:w="8932" w:type="dxa"/>
          </w:tcPr>
          <w:p w14:paraId="7151D0B7" w14:textId="77777777" w:rsidR="00FB06F0" w:rsidRPr="00EB545C" w:rsidRDefault="004F253D">
            <w:pPr>
              <w:pStyle w:val="TableParagraph"/>
              <w:rPr>
                <w:sz w:val="18"/>
                <w:szCs w:val="20"/>
              </w:rPr>
            </w:pPr>
            <w:r w:rsidRPr="00EB545C">
              <w:rPr>
                <w:sz w:val="18"/>
                <w:szCs w:val="20"/>
              </w:rPr>
              <w:t>Training plans that gather ancestral and scientific knowledge for local actors,</w:t>
            </w:r>
          </w:p>
          <w:p w14:paraId="6AC0FD48" w14:textId="77777777" w:rsidR="00FB06F0" w:rsidRPr="00EB545C" w:rsidRDefault="004F253D">
            <w:pPr>
              <w:pStyle w:val="TableParagraph"/>
              <w:spacing w:before="36"/>
              <w:rPr>
                <w:sz w:val="18"/>
                <w:szCs w:val="20"/>
              </w:rPr>
            </w:pPr>
            <w:r w:rsidRPr="00EB545C">
              <w:rPr>
                <w:sz w:val="18"/>
                <w:szCs w:val="20"/>
              </w:rPr>
              <w:t>rangers and decision-makers.</w:t>
            </w:r>
          </w:p>
        </w:tc>
      </w:tr>
      <w:tr w:rsidR="00FB06F0" w:rsidRPr="00EB545C" w14:paraId="7B400DB8" w14:textId="77777777">
        <w:trPr>
          <w:trHeight w:val="539"/>
        </w:trPr>
        <w:tc>
          <w:tcPr>
            <w:tcW w:w="8932" w:type="dxa"/>
          </w:tcPr>
          <w:p w14:paraId="05AF5447" w14:textId="77777777" w:rsidR="00FB06F0" w:rsidRPr="00EB545C" w:rsidRDefault="004F253D">
            <w:pPr>
              <w:pStyle w:val="TableParagraph"/>
              <w:rPr>
                <w:sz w:val="18"/>
                <w:szCs w:val="20"/>
              </w:rPr>
            </w:pPr>
            <w:r w:rsidRPr="00EB545C">
              <w:rPr>
                <w:sz w:val="18"/>
                <w:szCs w:val="20"/>
              </w:rPr>
              <w:t>Mechanisms for forest management, monitoring and biodiversity conservation based on</w:t>
            </w:r>
          </w:p>
          <w:p w14:paraId="3240CE88" w14:textId="77777777" w:rsidR="00FB06F0" w:rsidRPr="00EB545C" w:rsidRDefault="004F253D">
            <w:pPr>
              <w:pStyle w:val="TableParagraph"/>
              <w:spacing w:before="33"/>
              <w:rPr>
                <w:sz w:val="18"/>
                <w:szCs w:val="20"/>
              </w:rPr>
            </w:pPr>
            <w:r w:rsidRPr="00EB545C">
              <w:rPr>
                <w:sz w:val="18"/>
                <w:szCs w:val="20"/>
              </w:rPr>
              <w:t>ancestral and scientific knowledge.</w:t>
            </w:r>
          </w:p>
        </w:tc>
      </w:tr>
      <w:tr w:rsidR="00FB06F0" w:rsidRPr="00EB545C" w14:paraId="5BD3F02B" w14:textId="77777777">
        <w:trPr>
          <w:trHeight w:val="542"/>
        </w:trPr>
        <w:tc>
          <w:tcPr>
            <w:tcW w:w="8932" w:type="dxa"/>
          </w:tcPr>
          <w:p w14:paraId="635B55A3" w14:textId="77777777" w:rsidR="00FB06F0" w:rsidRPr="00EB545C" w:rsidRDefault="004F253D">
            <w:pPr>
              <w:pStyle w:val="TableParagraph"/>
              <w:rPr>
                <w:sz w:val="18"/>
                <w:szCs w:val="20"/>
              </w:rPr>
            </w:pPr>
            <w:r w:rsidRPr="00EB545C">
              <w:rPr>
                <w:sz w:val="18"/>
                <w:szCs w:val="20"/>
              </w:rPr>
              <w:t>Implementation (by local stakeholders) of environmental monitoring and management strategies that</w:t>
            </w:r>
          </w:p>
          <w:p w14:paraId="41F1298D" w14:textId="77777777" w:rsidR="00FB06F0" w:rsidRPr="00EB545C" w:rsidRDefault="004F253D">
            <w:pPr>
              <w:pStyle w:val="TableParagraph"/>
              <w:spacing w:before="35"/>
              <w:rPr>
                <w:sz w:val="18"/>
                <w:szCs w:val="20"/>
              </w:rPr>
            </w:pPr>
            <w:r w:rsidRPr="00EB545C">
              <w:rPr>
                <w:sz w:val="18"/>
                <w:szCs w:val="20"/>
              </w:rPr>
              <w:t>take into account ancestral and scientific knowledge.</w:t>
            </w:r>
          </w:p>
        </w:tc>
      </w:tr>
      <w:tr w:rsidR="00FB06F0" w:rsidRPr="00EB545C" w14:paraId="5AA47782" w14:textId="77777777">
        <w:trPr>
          <w:trHeight w:val="774"/>
        </w:trPr>
        <w:tc>
          <w:tcPr>
            <w:tcW w:w="8932" w:type="dxa"/>
          </w:tcPr>
          <w:p w14:paraId="6CB19BAD" w14:textId="77777777" w:rsidR="00FB06F0" w:rsidRPr="00EB545C" w:rsidRDefault="004F253D">
            <w:pPr>
              <w:pStyle w:val="TableParagraph"/>
              <w:spacing w:before="1" w:line="232" w:lineRule="auto"/>
              <w:ind w:left="107"/>
              <w:rPr>
                <w:rFonts w:ascii="Arial Black" w:hAnsi="Arial Black"/>
                <w:sz w:val="18"/>
                <w:szCs w:val="20"/>
              </w:rPr>
            </w:pPr>
            <w:r w:rsidRPr="00EB545C">
              <w:rPr>
                <w:rFonts w:ascii="Arial Black" w:hAnsi="Arial Black"/>
                <w:sz w:val="18"/>
                <w:szCs w:val="20"/>
              </w:rPr>
              <w:t>Promotion of governance solutions to address the drivers of deforestation (illegal logging, associated trade, unsustainable agricultural practices, and the</w:t>
            </w:r>
          </w:p>
          <w:p w14:paraId="74AE37ED" w14:textId="77777777" w:rsidR="00FB06F0" w:rsidRPr="00EB545C" w:rsidRDefault="004F253D">
            <w:pPr>
              <w:pStyle w:val="TableParagraph"/>
              <w:spacing w:before="0" w:line="234" w:lineRule="exact"/>
              <w:ind w:left="107"/>
              <w:rPr>
                <w:rFonts w:ascii="Arial Black" w:hAnsi="Arial Black"/>
                <w:sz w:val="18"/>
                <w:szCs w:val="20"/>
              </w:rPr>
            </w:pPr>
            <w:r w:rsidRPr="00EB545C">
              <w:rPr>
                <w:rFonts w:ascii="Arial Black" w:hAnsi="Arial Black"/>
                <w:sz w:val="18"/>
                <w:szCs w:val="20"/>
              </w:rPr>
              <w:t>illegal cattle ranching, forest fires, among others)</w:t>
            </w:r>
          </w:p>
        </w:tc>
      </w:tr>
      <w:tr w:rsidR="00FB06F0" w:rsidRPr="00EB545C" w14:paraId="21D33493" w14:textId="77777777">
        <w:trPr>
          <w:trHeight w:val="258"/>
        </w:trPr>
        <w:tc>
          <w:tcPr>
            <w:tcW w:w="8932" w:type="dxa"/>
          </w:tcPr>
          <w:p w14:paraId="72898C2B" w14:textId="77777777" w:rsidR="00FB06F0" w:rsidRPr="00EB545C" w:rsidRDefault="004F253D">
            <w:pPr>
              <w:pStyle w:val="TableParagraph"/>
              <w:spacing w:line="219" w:lineRule="exact"/>
              <w:rPr>
                <w:sz w:val="18"/>
                <w:szCs w:val="20"/>
              </w:rPr>
            </w:pPr>
            <w:r w:rsidRPr="00EB545C">
              <w:rPr>
                <w:sz w:val="18"/>
                <w:szCs w:val="20"/>
              </w:rPr>
              <w:t>Multi-country, multi-stakeholder, cross-border, local actors and decision-makers workshops.</w:t>
            </w:r>
          </w:p>
        </w:tc>
      </w:tr>
      <w:tr w:rsidR="00FB06F0" w:rsidRPr="00EB545C" w14:paraId="221AD82C" w14:textId="77777777">
        <w:trPr>
          <w:trHeight w:val="517"/>
        </w:trPr>
        <w:tc>
          <w:tcPr>
            <w:tcW w:w="8932" w:type="dxa"/>
          </w:tcPr>
          <w:p w14:paraId="3E94B50F" w14:textId="77777777" w:rsidR="00FB06F0" w:rsidRPr="00EB545C" w:rsidRDefault="004F253D">
            <w:pPr>
              <w:pStyle w:val="TableParagraph"/>
              <w:rPr>
                <w:sz w:val="18"/>
                <w:szCs w:val="20"/>
              </w:rPr>
            </w:pPr>
            <w:r w:rsidRPr="00EB545C">
              <w:rPr>
                <w:sz w:val="18"/>
                <w:szCs w:val="20"/>
              </w:rPr>
              <w:t>Development and establishment of procedures and good governance mechanisms for the</w:t>
            </w:r>
          </w:p>
          <w:p w14:paraId="69F2C921" w14:textId="77777777" w:rsidR="00FB06F0" w:rsidRPr="00EB545C" w:rsidRDefault="004F253D">
            <w:pPr>
              <w:pStyle w:val="TableParagraph"/>
              <w:spacing w:before="35" w:line="219" w:lineRule="exact"/>
              <w:rPr>
                <w:sz w:val="18"/>
                <w:szCs w:val="20"/>
              </w:rPr>
            </w:pPr>
            <w:r w:rsidRPr="00EB545C">
              <w:rPr>
                <w:sz w:val="18"/>
                <w:szCs w:val="20"/>
              </w:rPr>
              <w:t>monitoring and tracking for ecosystem management.</w:t>
            </w:r>
          </w:p>
        </w:tc>
      </w:tr>
      <w:tr w:rsidR="00FB06F0" w:rsidRPr="00EB545C" w14:paraId="122F909D" w14:textId="77777777">
        <w:trPr>
          <w:trHeight w:val="258"/>
        </w:trPr>
        <w:tc>
          <w:tcPr>
            <w:tcW w:w="8932" w:type="dxa"/>
          </w:tcPr>
          <w:p w14:paraId="7AE3DA03" w14:textId="77777777" w:rsidR="00FB06F0" w:rsidRPr="00EB545C" w:rsidRDefault="004F253D">
            <w:pPr>
              <w:pStyle w:val="TableParagraph"/>
              <w:spacing w:line="219" w:lineRule="exact"/>
              <w:rPr>
                <w:sz w:val="18"/>
                <w:szCs w:val="20"/>
              </w:rPr>
            </w:pPr>
            <w:r w:rsidRPr="00EB545C">
              <w:rPr>
                <w:sz w:val="18"/>
                <w:szCs w:val="20"/>
              </w:rPr>
              <w:t>Implementation of identified good governance strategies.</w:t>
            </w:r>
          </w:p>
        </w:tc>
      </w:tr>
    </w:tbl>
    <w:p w14:paraId="62C534D8" w14:textId="77777777" w:rsidR="00FB06F0" w:rsidRPr="00EB545C" w:rsidRDefault="00FB06F0">
      <w:pPr>
        <w:pStyle w:val="Textoindependiente"/>
      </w:pPr>
    </w:p>
    <w:p w14:paraId="428932F0" w14:textId="77777777" w:rsidR="00FB06F0" w:rsidRPr="00EB545C" w:rsidRDefault="00FB06F0">
      <w:pPr>
        <w:pStyle w:val="Textoindependiente"/>
      </w:pPr>
    </w:p>
    <w:p w14:paraId="2473ED51" w14:textId="77777777" w:rsidR="00FB06F0" w:rsidRPr="00EB545C" w:rsidRDefault="00FB06F0">
      <w:pPr>
        <w:pStyle w:val="Textoindependiente"/>
      </w:pPr>
    </w:p>
    <w:p w14:paraId="1C365134" w14:textId="77777777" w:rsidR="00FB06F0" w:rsidRPr="00EB545C" w:rsidRDefault="00FB06F0">
      <w:pPr>
        <w:pStyle w:val="Textoindependiente"/>
        <w:jc w:val="center"/>
        <w:sectPr w:rsidR="00FB06F0" w:rsidRPr="00EB545C" w:rsidSect="007F0102">
          <w:pgSz w:w="12240" w:h="15840"/>
          <w:pgMar w:top="1340" w:right="1440" w:bottom="280" w:left="709" w:header="720" w:footer="720" w:gutter="0"/>
          <w:cols w:space="720"/>
        </w:sectPr>
      </w:pPr>
    </w:p>
    <w:p w14:paraId="6AD606A3" w14:textId="7306D6E6" w:rsidR="00FB06F0" w:rsidRPr="00EB545C" w:rsidRDefault="004F253D">
      <w:pPr>
        <w:pStyle w:val="Textoindependiente"/>
        <w:spacing w:before="72" w:after="37"/>
        <w:ind w:left="622"/>
      </w:pPr>
      <w:r w:rsidRPr="00EB545C">
        <w:rPr>
          <w:rFonts w:ascii="Arial Black"/>
        </w:rPr>
        <w:lastRenderedPageBreak/>
        <w:t xml:space="preserve">Table 2. </w:t>
      </w:r>
      <w:r w:rsidRPr="00EB545C">
        <w:t>Details of eligible activities, window B.</w:t>
      </w: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2"/>
      </w:tblGrid>
      <w:tr w:rsidR="00FB06F0" w:rsidRPr="00EB545C" w14:paraId="63CF5007" w14:textId="77777777">
        <w:trPr>
          <w:trHeight w:val="304"/>
        </w:trPr>
        <w:tc>
          <w:tcPr>
            <w:tcW w:w="8932" w:type="dxa"/>
            <w:shd w:val="clear" w:color="auto" w:fill="D0CECE"/>
          </w:tcPr>
          <w:p w14:paraId="2FC997BF" w14:textId="77777777" w:rsidR="00FB06F0" w:rsidRPr="00EB545C" w:rsidRDefault="004F253D">
            <w:pPr>
              <w:pStyle w:val="TableParagraph"/>
              <w:spacing w:before="0" w:line="275" w:lineRule="exact"/>
              <w:ind w:left="107"/>
              <w:rPr>
                <w:sz w:val="18"/>
                <w:szCs w:val="20"/>
              </w:rPr>
            </w:pPr>
            <w:r w:rsidRPr="00EB545C">
              <w:rPr>
                <w:rFonts w:ascii="Arial Black" w:hAnsi="Arial Black"/>
                <w:sz w:val="18"/>
                <w:szCs w:val="20"/>
              </w:rPr>
              <w:t xml:space="preserve">Window B. </w:t>
            </w:r>
            <w:r w:rsidRPr="00EB545C">
              <w:rPr>
                <w:sz w:val="18"/>
                <w:szCs w:val="20"/>
              </w:rPr>
              <w:t>In support of indigenous peoples and local communities</w:t>
            </w:r>
          </w:p>
        </w:tc>
      </w:tr>
      <w:tr w:rsidR="00FB06F0" w:rsidRPr="00EB545C" w14:paraId="1EAB568A" w14:textId="77777777" w:rsidTr="00FC414A">
        <w:trPr>
          <w:trHeight w:val="465"/>
        </w:trPr>
        <w:tc>
          <w:tcPr>
            <w:tcW w:w="8932" w:type="dxa"/>
          </w:tcPr>
          <w:p w14:paraId="233E0DFD" w14:textId="77777777" w:rsidR="00FB06F0" w:rsidRPr="00EB545C" w:rsidRDefault="004F253D">
            <w:pPr>
              <w:pStyle w:val="TableParagraph"/>
              <w:spacing w:before="1" w:line="232" w:lineRule="auto"/>
              <w:ind w:left="107" w:right="97"/>
              <w:jc w:val="both"/>
              <w:rPr>
                <w:rFonts w:ascii="Arial Black" w:hAnsi="Arial Black"/>
                <w:sz w:val="18"/>
                <w:szCs w:val="20"/>
              </w:rPr>
            </w:pPr>
            <w:r w:rsidRPr="00EB545C">
              <w:rPr>
                <w:rFonts w:ascii="Arial Black" w:hAnsi="Arial Black"/>
                <w:sz w:val="18"/>
                <w:szCs w:val="20"/>
              </w:rPr>
              <w:t>Improving and harmonising institutional and policy frameworks to discourage drivers of deforestation and promote forest conservation and sustainable use of biodiversity.</w:t>
            </w:r>
          </w:p>
        </w:tc>
      </w:tr>
      <w:tr w:rsidR="00FB06F0" w:rsidRPr="00EB545C" w14:paraId="288C4B63" w14:textId="77777777">
        <w:trPr>
          <w:trHeight w:val="258"/>
        </w:trPr>
        <w:tc>
          <w:tcPr>
            <w:tcW w:w="8932" w:type="dxa"/>
          </w:tcPr>
          <w:p w14:paraId="2E23A561" w14:textId="77777777" w:rsidR="00FB06F0" w:rsidRPr="00EB545C" w:rsidRDefault="004F253D">
            <w:pPr>
              <w:pStyle w:val="TableParagraph"/>
              <w:spacing w:line="219" w:lineRule="exact"/>
              <w:rPr>
                <w:sz w:val="18"/>
                <w:szCs w:val="20"/>
              </w:rPr>
            </w:pPr>
            <w:r w:rsidRPr="00EB545C">
              <w:rPr>
                <w:sz w:val="18"/>
                <w:szCs w:val="20"/>
              </w:rPr>
              <w:t>Developing and influencing policy frameworks for forest protection and management.</w:t>
            </w:r>
          </w:p>
        </w:tc>
      </w:tr>
      <w:tr w:rsidR="00FB06F0" w:rsidRPr="00EB545C" w14:paraId="6D195942" w14:textId="77777777">
        <w:trPr>
          <w:trHeight w:val="258"/>
        </w:trPr>
        <w:tc>
          <w:tcPr>
            <w:tcW w:w="8932" w:type="dxa"/>
          </w:tcPr>
          <w:p w14:paraId="2934E3F1" w14:textId="77777777" w:rsidR="00FB06F0" w:rsidRPr="00EB545C" w:rsidRDefault="004F253D">
            <w:pPr>
              <w:pStyle w:val="TableParagraph"/>
              <w:spacing w:line="219" w:lineRule="exact"/>
              <w:rPr>
                <w:sz w:val="18"/>
                <w:szCs w:val="20"/>
              </w:rPr>
            </w:pPr>
            <w:r w:rsidRPr="00EB545C">
              <w:rPr>
                <w:sz w:val="18"/>
                <w:szCs w:val="20"/>
              </w:rPr>
              <w:t>Empowerment of local actors, through the promotion of exchanges.</w:t>
            </w:r>
          </w:p>
        </w:tc>
      </w:tr>
      <w:tr w:rsidR="00FB06F0" w:rsidRPr="00EB545C" w14:paraId="60462A5F" w14:textId="77777777">
        <w:trPr>
          <w:trHeight w:val="518"/>
        </w:trPr>
        <w:tc>
          <w:tcPr>
            <w:tcW w:w="8932" w:type="dxa"/>
          </w:tcPr>
          <w:p w14:paraId="1C57683A" w14:textId="466964FF" w:rsidR="00FB06F0" w:rsidRPr="00EB545C" w:rsidRDefault="004F253D" w:rsidP="00FC414A">
            <w:pPr>
              <w:pStyle w:val="TableParagraph"/>
              <w:rPr>
                <w:sz w:val="18"/>
                <w:szCs w:val="20"/>
              </w:rPr>
            </w:pPr>
            <w:r w:rsidRPr="00EB545C">
              <w:rPr>
                <w:sz w:val="18"/>
                <w:szCs w:val="20"/>
              </w:rPr>
              <w:t>Meetings between cross-border actors to develop a cross-border approach</w:t>
            </w:r>
            <w:r w:rsidR="00FC414A">
              <w:rPr>
                <w:sz w:val="18"/>
                <w:szCs w:val="20"/>
              </w:rPr>
              <w:t xml:space="preserve"> </w:t>
            </w:r>
            <w:r w:rsidRPr="00EB545C">
              <w:rPr>
                <w:sz w:val="18"/>
                <w:szCs w:val="20"/>
              </w:rPr>
              <w:t>with the goal of developing a shared approach to the management of forest ecosystems, whether national, bi- or tri-national.</w:t>
            </w:r>
          </w:p>
        </w:tc>
      </w:tr>
      <w:tr w:rsidR="00FB06F0" w:rsidRPr="00EB545C" w14:paraId="38042027" w14:textId="77777777">
        <w:trPr>
          <w:trHeight w:val="297"/>
        </w:trPr>
        <w:tc>
          <w:tcPr>
            <w:tcW w:w="8932" w:type="dxa"/>
          </w:tcPr>
          <w:p w14:paraId="7ED477C8" w14:textId="77777777" w:rsidR="00FB06F0" w:rsidRPr="00EB545C" w:rsidRDefault="004F253D">
            <w:pPr>
              <w:pStyle w:val="TableParagraph"/>
              <w:rPr>
                <w:sz w:val="18"/>
                <w:szCs w:val="20"/>
              </w:rPr>
            </w:pPr>
            <w:r w:rsidRPr="00EB545C">
              <w:rPr>
                <w:sz w:val="18"/>
                <w:szCs w:val="20"/>
              </w:rPr>
              <w:t>Implementation of governance schemes for forest protection and management.</w:t>
            </w:r>
          </w:p>
        </w:tc>
      </w:tr>
      <w:tr w:rsidR="00FB06F0" w:rsidRPr="00EB545C" w14:paraId="61B3B991" w14:textId="77777777">
        <w:trPr>
          <w:trHeight w:val="1037"/>
        </w:trPr>
        <w:tc>
          <w:tcPr>
            <w:tcW w:w="8932" w:type="dxa"/>
          </w:tcPr>
          <w:p w14:paraId="1E37E75E" w14:textId="7E3C4BD7" w:rsidR="00FB06F0" w:rsidRPr="00EB545C" w:rsidRDefault="004F253D" w:rsidP="00FC414A">
            <w:pPr>
              <w:pStyle w:val="TableParagraph"/>
              <w:spacing w:before="1" w:line="232" w:lineRule="auto"/>
              <w:ind w:left="107" w:right="96"/>
              <w:jc w:val="both"/>
              <w:rPr>
                <w:rFonts w:ascii="Arial Black"/>
                <w:sz w:val="18"/>
                <w:szCs w:val="20"/>
              </w:rPr>
            </w:pPr>
            <w:r w:rsidRPr="00EB545C">
              <w:rPr>
                <w:rFonts w:ascii="Arial Black" w:hAnsi="Arial Black"/>
                <w:sz w:val="18"/>
                <w:szCs w:val="20"/>
              </w:rPr>
              <w:t>Contribution to the recovery and protection of ancestral knowledge, rescuing and validating the practices of customary use of biodiversity goods and services, with a particular focus on the role of indigenous and Afro-descendant women and young people</w:t>
            </w:r>
            <w:r w:rsidR="00FC414A">
              <w:rPr>
                <w:rFonts w:ascii="Arial Black" w:hAnsi="Arial Black"/>
                <w:sz w:val="18"/>
                <w:szCs w:val="20"/>
              </w:rPr>
              <w:t xml:space="preserve"> </w:t>
            </w:r>
            <w:r w:rsidRPr="00EB545C">
              <w:rPr>
                <w:rFonts w:ascii="Arial Black"/>
                <w:sz w:val="18"/>
                <w:szCs w:val="20"/>
              </w:rPr>
              <w:t>as key agents of change</w:t>
            </w:r>
          </w:p>
        </w:tc>
      </w:tr>
      <w:tr w:rsidR="00FB06F0" w:rsidRPr="00EB545C" w14:paraId="5D59701B" w14:textId="77777777">
        <w:trPr>
          <w:trHeight w:val="517"/>
        </w:trPr>
        <w:tc>
          <w:tcPr>
            <w:tcW w:w="8932" w:type="dxa"/>
          </w:tcPr>
          <w:p w14:paraId="09CECB49" w14:textId="0BF2CEBF" w:rsidR="00FB06F0" w:rsidRPr="00EB545C" w:rsidRDefault="004F253D" w:rsidP="00FC414A">
            <w:pPr>
              <w:pStyle w:val="TableParagraph"/>
              <w:rPr>
                <w:sz w:val="18"/>
                <w:szCs w:val="20"/>
              </w:rPr>
            </w:pPr>
            <w:r w:rsidRPr="00EB545C">
              <w:rPr>
                <w:sz w:val="18"/>
                <w:szCs w:val="20"/>
              </w:rPr>
              <w:t>Implementation of capacity-building actions to promote development</w:t>
            </w:r>
            <w:r w:rsidR="00FC414A">
              <w:rPr>
                <w:sz w:val="18"/>
                <w:szCs w:val="20"/>
              </w:rPr>
              <w:t xml:space="preserve"> </w:t>
            </w:r>
            <w:r w:rsidRPr="00EB545C">
              <w:rPr>
                <w:sz w:val="18"/>
                <w:szCs w:val="20"/>
              </w:rPr>
              <w:t>based on Indigenous Knowledge.</w:t>
            </w:r>
          </w:p>
        </w:tc>
      </w:tr>
      <w:tr w:rsidR="00FB06F0" w:rsidRPr="00EB545C" w14:paraId="4B9B3610" w14:textId="77777777">
        <w:trPr>
          <w:trHeight w:val="515"/>
        </w:trPr>
        <w:tc>
          <w:tcPr>
            <w:tcW w:w="8932" w:type="dxa"/>
          </w:tcPr>
          <w:p w14:paraId="587CECF4" w14:textId="2FB7ECEA" w:rsidR="00FB06F0" w:rsidRPr="00EB545C" w:rsidRDefault="004F253D" w:rsidP="004F253D">
            <w:pPr>
              <w:pStyle w:val="TableParagraph"/>
              <w:rPr>
                <w:sz w:val="18"/>
                <w:szCs w:val="20"/>
              </w:rPr>
            </w:pPr>
            <w:r w:rsidRPr="00EB545C">
              <w:rPr>
                <w:sz w:val="18"/>
                <w:szCs w:val="20"/>
              </w:rPr>
              <w:t>Actions that have an impact on the defence of indigenous peoples and that give visibility to and recognise their role in the preservation of their cultures.</w:t>
            </w:r>
          </w:p>
        </w:tc>
      </w:tr>
      <w:tr w:rsidR="00FB06F0" w:rsidRPr="00EB545C" w14:paraId="2FA73E2E" w14:textId="77777777" w:rsidTr="00FC414A">
        <w:trPr>
          <w:trHeight w:val="489"/>
        </w:trPr>
        <w:tc>
          <w:tcPr>
            <w:tcW w:w="8932" w:type="dxa"/>
          </w:tcPr>
          <w:p w14:paraId="74099BB4" w14:textId="7FC540C2" w:rsidR="00FB06F0" w:rsidRPr="00EB545C" w:rsidRDefault="004F253D" w:rsidP="00FC414A">
            <w:pPr>
              <w:pStyle w:val="TableParagraph"/>
              <w:spacing w:line="278" w:lineRule="auto"/>
              <w:ind w:right="68"/>
              <w:rPr>
                <w:sz w:val="18"/>
                <w:szCs w:val="20"/>
              </w:rPr>
            </w:pPr>
            <w:r w:rsidRPr="00EB545C">
              <w:rPr>
                <w:sz w:val="18"/>
                <w:szCs w:val="20"/>
              </w:rPr>
              <w:t>Political, social and cultural advocacy strategies to promote and position Indigenous Knowledge in the sustainable management of forests, biodiversity conservation and ecosystem restoration.</w:t>
            </w:r>
          </w:p>
        </w:tc>
      </w:tr>
      <w:tr w:rsidR="00FB06F0" w:rsidRPr="00EB545C" w14:paraId="2000DA63" w14:textId="77777777">
        <w:trPr>
          <w:trHeight w:val="777"/>
        </w:trPr>
        <w:tc>
          <w:tcPr>
            <w:tcW w:w="8932" w:type="dxa"/>
          </w:tcPr>
          <w:p w14:paraId="01F1456B" w14:textId="79EE21A1" w:rsidR="00FB06F0" w:rsidRPr="00EB545C" w:rsidRDefault="004F253D" w:rsidP="00FC414A">
            <w:pPr>
              <w:pStyle w:val="TableParagraph"/>
              <w:spacing w:before="1" w:line="232" w:lineRule="auto"/>
              <w:ind w:left="107"/>
              <w:rPr>
                <w:rFonts w:ascii="Arial Black" w:hAnsi="Arial Black"/>
                <w:sz w:val="18"/>
                <w:szCs w:val="20"/>
              </w:rPr>
            </w:pPr>
            <w:r w:rsidRPr="00EB545C">
              <w:rPr>
                <w:rFonts w:ascii="Arial Black" w:hAnsi="Arial Black"/>
                <w:sz w:val="18"/>
                <w:szCs w:val="20"/>
              </w:rPr>
              <w:t>Promotion of governance solutions to address the drivers of deforestation (illegal logging, associated trade, unsustainable agricultural practices, and the</w:t>
            </w:r>
            <w:r w:rsidR="00FC414A">
              <w:rPr>
                <w:rFonts w:ascii="Arial Black" w:hAnsi="Arial Black"/>
                <w:sz w:val="18"/>
                <w:szCs w:val="20"/>
              </w:rPr>
              <w:t xml:space="preserve"> </w:t>
            </w:r>
            <w:r w:rsidRPr="00EB545C">
              <w:rPr>
                <w:rFonts w:ascii="Arial Black" w:hAnsi="Arial Black"/>
                <w:sz w:val="18"/>
                <w:szCs w:val="20"/>
              </w:rPr>
              <w:t>illegal livestock ranching, among others)</w:t>
            </w:r>
          </w:p>
        </w:tc>
      </w:tr>
      <w:tr w:rsidR="00FB06F0" w:rsidRPr="00EB545C" w14:paraId="74538CBA" w14:textId="77777777">
        <w:trPr>
          <w:trHeight w:val="259"/>
        </w:trPr>
        <w:tc>
          <w:tcPr>
            <w:tcW w:w="8932" w:type="dxa"/>
          </w:tcPr>
          <w:p w14:paraId="5BC6CA81" w14:textId="77777777" w:rsidR="00FB06F0" w:rsidRPr="00EB545C" w:rsidRDefault="004F253D">
            <w:pPr>
              <w:pStyle w:val="TableParagraph"/>
              <w:spacing w:line="219" w:lineRule="exact"/>
              <w:rPr>
                <w:sz w:val="18"/>
                <w:szCs w:val="20"/>
              </w:rPr>
            </w:pPr>
            <w:r w:rsidRPr="00EB545C">
              <w:rPr>
                <w:sz w:val="18"/>
                <w:szCs w:val="20"/>
              </w:rPr>
              <w:t>Multi-country, multi-stakeholder, cross-border, local actors and decision-makers workshops.</w:t>
            </w:r>
          </w:p>
        </w:tc>
      </w:tr>
      <w:tr w:rsidR="00FB06F0" w:rsidRPr="00EB545C" w14:paraId="6A6DF43D" w14:textId="77777777">
        <w:trPr>
          <w:trHeight w:val="515"/>
        </w:trPr>
        <w:tc>
          <w:tcPr>
            <w:tcW w:w="8932" w:type="dxa"/>
          </w:tcPr>
          <w:p w14:paraId="02FE2213" w14:textId="4742EF9A" w:rsidR="00FB06F0" w:rsidRPr="00EB545C" w:rsidRDefault="004F253D" w:rsidP="00FC414A">
            <w:pPr>
              <w:pStyle w:val="TableParagraph"/>
              <w:rPr>
                <w:sz w:val="18"/>
                <w:szCs w:val="20"/>
              </w:rPr>
            </w:pPr>
            <w:r w:rsidRPr="00EB545C">
              <w:rPr>
                <w:sz w:val="18"/>
                <w:szCs w:val="20"/>
              </w:rPr>
              <w:t>Development and establishment of procedures and good governance mechanisms for the</w:t>
            </w:r>
            <w:r w:rsidR="00FC414A">
              <w:rPr>
                <w:sz w:val="18"/>
                <w:szCs w:val="20"/>
              </w:rPr>
              <w:t xml:space="preserve"> </w:t>
            </w:r>
            <w:r w:rsidRPr="00EB545C">
              <w:rPr>
                <w:sz w:val="18"/>
                <w:szCs w:val="20"/>
              </w:rPr>
              <w:t>monitoring and tracking for ecosystem management.</w:t>
            </w:r>
          </w:p>
        </w:tc>
      </w:tr>
      <w:tr w:rsidR="00FB06F0" w:rsidRPr="00EB545C" w14:paraId="0175A8D0" w14:textId="77777777">
        <w:trPr>
          <w:trHeight w:val="261"/>
        </w:trPr>
        <w:tc>
          <w:tcPr>
            <w:tcW w:w="8932" w:type="dxa"/>
          </w:tcPr>
          <w:p w14:paraId="173FB0FD" w14:textId="77777777" w:rsidR="00FB06F0" w:rsidRPr="00EB545C" w:rsidRDefault="004F253D">
            <w:pPr>
              <w:pStyle w:val="TableParagraph"/>
              <w:spacing w:line="221" w:lineRule="exact"/>
              <w:rPr>
                <w:sz w:val="18"/>
                <w:szCs w:val="20"/>
              </w:rPr>
            </w:pPr>
            <w:r w:rsidRPr="00EB545C">
              <w:rPr>
                <w:sz w:val="18"/>
                <w:szCs w:val="20"/>
              </w:rPr>
              <w:t>Implementation of identified good governance strategies.</w:t>
            </w:r>
          </w:p>
        </w:tc>
      </w:tr>
    </w:tbl>
    <w:p w14:paraId="19D9F14E" w14:textId="77777777" w:rsidR="00FB06F0" w:rsidRPr="00EB545C" w:rsidRDefault="004F253D">
      <w:pPr>
        <w:spacing w:before="118" w:after="10" w:line="288" w:lineRule="auto"/>
        <w:ind w:left="490" w:hanging="10"/>
        <w:rPr>
          <w:sz w:val="18"/>
          <w:szCs w:val="20"/>
        </w:rPr>
      </w:pPr>
      <w:r w:rsidRPr="00EB545C">
        <w:rPr>
          <w:rFonts w:ascii="Arial Black" w:hAnsi="Arial Black"/>
          <w:sz w:val="20"/>
          <w:szCs w:val="20"/>
        </w:rPr>
        <w:t xml:space="preserve">Relation to Programme Indicators. </w:t>
      </w:r>
      <w:r w:rsidRPr="00EB545C">
        <w:rPr>
          <w:sz w:val="18"/>
          <w:szCs w:val="20"/>
        </w:rPr>
        <w:t>Projects should contribute to one or more of the following indicators of Outcome 2.1 of the Great Forests of Mesoamerica Programme.</w:t>
      </w: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75"/>
      </w:tblGrid>
      <w:tr w:rsidR="00FB06F0" w:rsidRPr="00EB545C" w14:paraId="3EBCB6B0" w14:textId="77777777">
        <w:trPr>
          <w:trHeight w:val="489"/>
        </w:trPr>
        <w:tc>
          <w:tcPr>
            <w:tcW w:w="8975" w:type="dxa"/>
          </w:tcPr>
          <w:p w14:paraId="590B0A96" w14:textId="77777777" w:rsidR="00FB06F0" w:rsidRPr="00EB545C" w:rsidRDefault="004F253D">
            <w:pPr>
              <w:pStyle w:val="TableParagraph"/>
              <w:spacing w:before="17"/>
              <w:rPr>
                <w:sz w:val="16"/>
                <w:szCs w:val="20"/>
              </w:rPr>
            </w:pPr>
            <w:r w:rsidRPr="00EB545C">
              <w:rPr>
                <w:sz w:val="16"/>
                <w:szCs w:val="20"/>
              </w:rPr>
              <w:t>No. of multi-country and multi-stakeholder networks on biodiversity conservation and restoration, and</w:t>
            </w:r>
          </w:p>
          <w:p w14:paraId="17A20C40" w14:textId="77777777" w:rsidR="00FB06F0" w:rsidRPr="00EB545C" w:rsidRDefault="004F253D">
            <w:pPr>
              <w:pStyle w:val="TableParagraph"/>
              <w:spacing w:before="33" w:line="207" w:lineRule="exact"/>
              <w:rPr>
                <w:sz w:val="16"/>
                <w:szCs w:val="20"/>
              </w:rPr>
            </w:pPr>
            <w:r w:rsidRPr="00EB545C">
              <w:rPr>
                <w:sz w:val="16"/>
                <w:szCs w:val="20"/>
              </w:rPr>
              <w:t>connectivity supported by the programme.</w:t>
            </w:r>
          </w:p>
        </w:tc>
      </w:tr>
      <w:tr w:rsidR="00FB06F0" w:rsidRPr="00EB545C" w14:paraId="53EA886C" w14:textId="77777777">
        <w:trPr>
          <w:trHeight w:val="489"/>
        </w:trPr>
        <w:tc>
          <w:tcPr>
            <w:tcW w:w="8975" w:type="dxa"/>
          </w:tcPr>
          <w:p w14:paraId="68B943B2" w14:textId="3E0893F7" w:rsidR="00FB06F0" w:rsidRPr="00EB545C" w:rsidRDefault="004F253D">
            <w:pPr>
              <w:pStyle w:val="TableParagraph"/>
              <w:spacing w:before="17"/>
              <w:rPr>
                <w:sz w:val="16"/>
                <w:szCs w:val="20"/>
              </w:rPr>
            </w:pPr>
            <w:r w:rsidRPr="00EB545C">
              <w:rPr>
                <w:sz w:val="16"/>
                <w:szCs w:val="20"/>
              </w:rPr>
              <w:t>Number of cross-border and multi-country agreements reactivated, mandated and/or established as</w:t>
            </w:r>
          </w:p>
          <w:p w14:paraId="2666E1A0" w14:textId="77777777" w:rsidR="00FB06F0" w:rsidRPr="00EB545C" w:rsidRDefault="004F253D">
            <w:pPr>
              <w:pStyle w:val="TableParagraph"/>
              <w:spacing w:before="33" w:line="207" w:lineRule="exact"/>
              <w:rPr>
                <w:sz w:val="16"/>
                <w:szCs w:val="20"/>
              </w:rPr>
            </w:pPr>
            <w:r w:rsidRPr="00EB545C">
              <w:rPr>
                <w:sz w:val="16"/>
                <w:szCs w:val="20"/>
              </w:rPr>
              <w:t>programme outcome</w:t>
            </w:r>
          </w:p>
        </w:tc>
      </w:tr>
      <w:tr w:rsidR="00FB06F0" w:rsidRPr="00EB545C" w14:paraId="529C514F" w14:textId="77777777">
        <w:trPr>
          <w:trHeight w:val="737"/>
        </w:trPr>
        <w:tc>
          <w:tcPr>
            <w:tcW w:w="8975" w:type="dxa"/>
          </w:tcPr>
          <w:p w14:paraId="67807425" w14:textId="6A214517" w:rsidR="00FB06F0" w:rsidRPr="00EB545C" w:rsidRDefault="004F253D">
            <w:pPr>
              <w:pStyle w:val="TableParagraph"/>
              <w:spacing w:line="276" w:lineRule="auto"/>
              <w:rPr>
                <w:sz w:val="16"/>
                <w:szCs w:val="20"/>
              </w:rPr>
            </w:pPr>
            <w:r w:rsidRPr="00EB545C">
              <w:rPr>
                <w:sz w:val="16"/>
                <w:szCs w:val="20"/>
              </w:rPr>
              <w:t xml:space="preserve">Number of governance strategies designed and implemented for ecosystem recovery and conservation, implementation of laws and regulations for forest development, local economic development and </w:t>
            </w:r>
          </w:p>
          <w:p w14:paraId="45F49246" w14:textId="77777777" w:rsidR="00FB06F0" w:rsidRPr="00EB545C" w:rsidRDefault="004F253D">
            <w:pPr>
              <w:pStyle w:val="TableParagraph"/>
              <w:spacing w:before="2" w:line="207" w:lineRule="exact"/>
              <w:rPr>
                <w:sz w:val="16"/>
                <w:szCs w:val="20"/>
              </w:rPr>
            </w:pPr>
            <w:r w:rsidRPr="00EB545C">
              <w:rPr>
                <w:sz w:val="16"/>
                <w:szCs w:val="20"/>
              </w:rPr>
              <w:t>and monitoring.</w:t>
            </w:r>
          </w:p>
        </w:tc>
      </w:tr>
      <w:tr w:rsidR="00FB06F0" w:rsidRPr="00EB545C" w14:paraId="48994EC2" w14:textId="77777777">
        <w:trPr>
          <w:trHeight w:val="489"/>
        </w:trPr>
        <w:tc>
          <w:tcPr>
            <w:tcW w:w="8975" w:type="dxa"/>
          </w:tcPr>
          <w:p w14:paraId="5151C256" w14:textId="33B836F5" w:rsidR="00FB06F0" w:rsidRPr="00EB545C" w:rsidRDefault="004F253D" w:rsidP="004F253D">
            <w:pPr>
              <w:pStyle w:val="TableParagraph"/>
              <w:spacing w:before="15"/>
              <w:rPr>
                <w:sz w:val="16"/>
                <w:szCs w:val="20"/>
              </w:rPr>
            </w:pPr>
            <w:r w:rsidRPr="00EB545C">
              <w:rPr>
                <w:sz w:val="16"/>
                <w:szCs w:val="20"/>
              </w:rPr>
              <w:t>Number of persons</w:t>
            </w:r>
            <w:r w:rsidR="00FC414A">
              <w:rPr>
                <w:rStyle w:val="Refdenotaalpie"/>
                <w:sz w:val="16"/>
                <w:szCs w:val="20"/>
              </w:rPr>
              <w:footnoteReference w:id="4"/>
            </w:r>
            <w:r w:rsidRPr="00EB545C">
              <w:rPr>
                <w:sz w:val="10"/>
                <w:szCs w:val="20"/>
              </w:rPr>
              <w:t xml:space="preserve"> </w:t>
            </w:r>
            <w:r w:rsidRPr="00EB545C">
              <w:rPr>
                <w:sz w:val="16"/>
                <w:szCs w:val="20"/>
              </w:rPr>
              <w:t>undergone training or capacitation in forest governance, biodiversity monitoring, ecosystem services and landscape approach.</w:t>
            </w:r>
          </w:p>
        </w:tc>
      </w:tr>
      <w:tr w:rsidR="00FB06F0" w:rsidRPr="00EB545C" w14:paraId="68B5B715" w14:textId="77777777">
        <w:trPr>
          <w:trHeight w:val="491"/>
        </w:trPr>
        <w:tc>
          <w:tcPr>
            <w:tcW w:w="8975" w:type="dxa"/>
          </w:tcPr>
          <w:p w14:paraId="3C6F496F" w14:textId="77777777" w:rsidR="00FB06F0" w:rsidRPr="00EB545C" w:rsidRDefault="004F253D">
            <w:pPr>
              <w:pStyle w:val="TableParagraph"/>
              <w:rPr>
                <w:sz w:val="16"/>
                <w:szCs w:val="20"/>
              </w:rPr>
            </w:pPr>
            <w:r w:rsidRPr="00EB545C">
              <w:rPr>
                <w:sz w:val="16"/>
                <w:szCs w:val="20"/>
              </w:rPr>
              <w:t>Number of hectares under ancestral knowledge (agriculture, medicine, tourism) and OECM criteria</w:t>
            </w:r>
          </w:p>
          <w:p w14:paraId="146102D1" w14:textId="77777777" w:rsidR="00FB06F0" w:rsidRPr="00EB545C" w:rsidRDefault="004F253D">
            <w:pPr>
              <w:pStyle w:val="TableParagraph"/>
              <w:spacing w:before="33" w:line="207" w:lineRule="exact"/>
              <w:rPr>
                <w:sz w:val="16"/>
                <w:szCs w:val="20"/>
              </w:rPr>
            </w:pPr>
            <w:r w:rsidRPr="00EB545C">
              <w:rPr>
                <w:sz w:val="16"/>
                <w:szCs w:val="20"/>
              </w:rPr>
              <w:t>managed and monitored to promote connectivity between great forests.</w:t>
            </w:r>
          </w:p>
        </w:tc>
      </w:tr>
      <w:tr w:rsidR="00FB06F0" w:rsidRPr="00EB545C" w14:paraId="3B27F5E2" w14:textId="77777777">
        <w:trPr>
          <w:trHeight w:val="244"/>
        </w:trPr>
        <w:tc>
          <w:tcPr>
            <w:tcW w:w="8975" w:type="dxa"/>
          </w:tcPr>
          <w:p w14:paraId="1E3D9273" w14:textId="77777777" w:rsidR="00FB06F0" w:rsidRPr="00EB545C" w:rsidRDefault="004F253D">
            <w:pPr>
              <w:pStyle w:val="TableParagraph"/>
              <w:spacing w:before="17" w:line="207" w:lineRule="exact"/>
              <w:rPr>
                <w:sz w:val="16"/>
                <w:szCs w:val="20"/>
              </w:rPr>
            </w:pPr>
            <w:r w:rsidRPr="00EB545C">
              <w:rPr>
                <w:sz w:val="16"/>
                <w:szCs w:val="20"/>
              </w:rPr>
              <w:t>Number of protected area management plans that consider good governance arrangements.</w:t>
            </w:r>
          </w:p>
        </w:tc>
      </w:tr>
      <w:tr w:rsidR="00FB06F0" w:rsidRPr="00EB545C" w14:paraId="20D8C8BF" w14:textId="77777777">
        <w:trPr>
          <w:trHeight w:val="491"/>
        </w:trPr>
        <w:tc>
          <w:tcPr>
            <w:tcW w:w="8975" w:type="dxa"/>
          </w:tcPr>
          <w:p w14:paraId="0710AA1C" w14:textId="19709A8E" w:rsidR="00FB06F0" w:rsidRPr="00FC414A" w:rsidRDefault="004F253D" w:rsidP="00FC414A">
            <w:pPr>
              <w:pStyle w:val="TableParagraph"/>
              <w:spacing w:before="15"/>
            </w:pPr>
            <w:r w:rsidRPr="00EB545C">
              <w:rPr>
                <w:sz w:val="16"/>
                <w:szCs w:val="20"/>
              </w:rPr>
              <w:t>Number of persons</w:t>
            </w:r>
            <w:r w:rsidR="00FC414A">
              <w:rPr>
                <w:rStyle w:val="Refdenotaalpie"/>
                <w:sz w:val="16"/>
                <w:szCs w:val="20"/>
              </w:rPr>
              <w:footnoteReference w:id="5"/>
            </w:r>
            <w:r w:rsidRPr="00EB545C">
              <w:rPr>
                <w:sz w:val="10"/>
                <w:szCs w:val="20"/>
              </w:rPr>
              <w:t xml:space="preserve"> </w:t>
            </w:r>
            <w:r w:rsidRPr="00EB545C">
              <w:rPr>
                <w:sz w:val="16"/>
                <w:szCs w:val="20"/>
              </w:rPr>
              <w:t>involved in consultative procedures and good forest,</w:t>
            </w:r>
          </w:p>
          <w:p w14:paraId="255AA0D5" w14:textId="77777777" w:rsidR="00FB06F0" w:rsidRPr="00EB545C" w:rsidRDefault="004F253D">
            <w:pPr>
              <w:pStyle w:val="TableParagraph"/>
              <w:spacing w:before="36" w:line="207" w:lineRule="exact"/>
              <w:rPr>
                <w:sz w:val="16"/>
                <w:szCs w:val="20"/>
              </w:rPr>
            </w:pPr>
            <w:r w:rsidRPr="00EB545C">
              <w:rPr>
                <w:sz w:val="16"/>
                <w:szCs w:val="20"/>
              </w:rPr>
              <w:t>ecosystems, biodiversity restoration and ecological connectivity governance processes.</w:t>
            </w:r>
          </w:p>
        </w:tc>
      </w:tr>
    </w:tbl>
    <w:p w14:paraId="1AC1F967" w14:textId="02D37547" w:rsidR="00FB06F0" w:rsidRPr="00EB545C" w:rsidRDefault="00FB06F0" w:rsidP="00FC414A">
      <w:pPr>
        <w:pStyle w:val="Textoindependiente"/>
        <w:spacing w:before="41"/>
      </w:pPr>
    </w:p>
    <w:p w14:paraId="1E89B006" w14:textId="77777777" w:rsidR="00FB06F0" w:rsidRPr="00EB545C" w:rsidRDefault="00FB06F0">
      <w:pPr>
        <w:pStyle w:val="Textoindependiente"/>
        <w:jc w:val="center"/>
        <w:sectPr w:rsidR="00FB06F0" w:rsidRPr="00EB545C" w:rsidSect="007F0102">
          <w:pgSz w:w="12240" w:h="15840"/>
          <w:pgMar w:top="1340" w:right="1440" w:bottom="280" w:left="567" w:header="720" w:footer="720" w:gutter="0"/>
          <w:cols w:space="720"/>
        </w:sectPr>
      </w:pPr>
    </w:p>
    <w:p w14:paraId="23329439" w14:textId="451EC9E9" w:rsidR="00FB06F0" w:rsidRPr="00EB545C" w:rsidRDefault="004F253D">
      <w:pPr>
        <w:pStyle w:val="Ttulo3"/>
        <w:numPr>
          <w:ilvl w:val="0"/>
          <w:numId w:val="5"/>
        </w:numPr>
        <w:tabs>
          <w:tab w:val="left" w:pos="500"/>
        </w:tabs>
        <w:spacing w:before="68"/>
        <w:ind w:left="500" w:hanging="303"/>
        <w:rPr>
          <w:b w:val="0"/>
          <w:color w:val="00125C"/>
        </w:rPr>
      </w:pPr>
      <w:r w:rsidRPr="00EB545C">
        <w:rPr>
          <w:b w:val="0"/>
          <w:color w:val="00125C"/>
        </w:rPr>
        <w:lastRenderedPageBreak/>
        <w:t>Project eligibility criteria</w:t>
      </w:r>
    </w:p>
    <w:p w14:paraId="666D1177" w14:textId="77777777" w:rsidR="00FB06F0" w:rsidRPr="00EB545C" w:rsidRDefault="004F253D">
      <w:pPr>
        <w:pStyle w:val="Textoindependiente"/>
        <w:spacing w:before="111" w:line="290" w:lineRule="auto"/>
        <w:ind w:left="480" w:right="22"/>
        <w:jc w:val="both"/>
      </w:pPr>
      <w:r w:rsidRPr="00EB545C">
        <w:rPr>
          <w:rFonts w:ascii="Arial Black" w:hAnsi="Arial Black"/>
        </w:rPr>
        <w:t xml:space="preserve">Territorial scope: </w:t>
      </w:r>
      <w:r w:rsidRPr="00EB545C">
        <w:t>Proposals take place in one or more countries within the territorial scope set out in this call (see section 3 above, “Scope of the call”).</w:t>
      </w:r>
    </w:p>
    <w:p w14:paraId="0143FC5E" w14:textId="77777777" w:rsidR="00FB06F0" w:rsidRPr="00EB545C" w:rsidRDefault="004F253D">
      <w:pPr>
        <w:pStyle w:val="Textoindependiente"/>
        <w:spacing w:before="120" w:line="312" w:lineRule="auto"/>
        <w:ind w:left="490" w:right="30" w:hanging="10"/>
        <w:jc w:val="both"/>
      </w:pPr>
      <w:r w:rsidRPr="00EB545C">
        <w:rPr>
          <w:rFonts w:ascii="Arial Black" w:hAnsi="Arial Black"/>
        </w:rPr>
        <w:t xml:space="preserve">Thematic scope and priorities: </w:t>
      </w:r>
      <w:r w:rsidRPr="00EB545C">
        <w:t>Projects must contribute significantly to one of the priority activities (table 1 or table 2) according to the window to which they are submitted. For proposals submitted in Window A, a letter of endorsement from the coordinating public institution must be provided. In lack of this letter, the contacts that have been informed of the design draft and the information sheet shall be provided.</w:t>
      </w:r>
    </w:p>
    <w:p w14:paraId="28355879" w14:textId="77777777" w:rsidR="00FB06F0" w:rsidRPr="00EB545C" w:rsidRDefault="004F253D">
      <w:pPr>
        <w:pStyle w:val="Textoindependiente"/>
        <w:spacing w:before="96" w:line="309" w:lineRule="auto"/>
        <w:ind w:left="480" w:right="27"/>
        <w:jc w:val="both"/>
      </w:pPr>
      <w:r w:rsidRPr="00EB545C">
        <w:rPr>
          <w:rFonts w:ascii="Arial Black" w:hAnsi="Arial Black"/>
        </w:rPr>
        <w:t xml:space="preserve">Financing: </w:t>
      </w:r>
      <w:r w:rsidRPr="00EB545C">
        <w:t>The amount of the aid will amount to 200,000 - 350,000 EUR, the allocation of which will be based on the extent of the impact of the proposal and the fund management experience of the proposer. Costs of inventoriable goods (e.g. technology, computers, drones, vehicles) will not be covered.</w:t>
      </w:r>
    </w:p>
    <w:p w14:paraId="218FE7E3" w14:textId="77777777" w:rsidR="00FB06F0" w:rsidRPr="00EB545C" w:rsidRDefault="004F253D">
      <w:pPr>
        <w:pStyle w:val="Textoindependiente"/>
        <w:spacing w:before="98" w:line="304" w:lineRule="auto"/>
        <w:ind w:left="480" w:right="21"/>
        <w:jc w:val="both"/>
      </w:pPr>
      <w:r w:rsidRPr="00EB545C">
        <w:rPr>
          <w:rFonts w:ascii="Arial Black" w:hAnsi="Arial Black"/>
        </w:rPr>
        <w:t xml:space="preserve">Number of projects that can be submitted: </w:t>
      </w:r>
      <w:r w:rsidRPr="00EB545C">
        <w:t>Each applicant organisation may only participate in one project proposal, irrespective of whether as lead applicant or co-applicant. If it is included in more than one, only one of them will be eligible.</w:t>
      </w:r>
    </w:p>
    <w:p w14:paraId="5C0A0B94" w14:textId="77777777" w:rsidR="00FB06F0" w:rsidRPr="00EB545C" w:rsidRDefault="004F253D">
      <w:pPr>
        <w:pStyle w:val="Ttulo3"/>
        <w:numPr>
          <w:ilvl w:val="0"/>
          <w:numId w:val="5"/>
        </w:numPr>
        <w:tabs>
          <w:tab w:val="left" w:pos="500"/>
        </w:tabs>
        <w:ind w:left="500" w:hanging="303"/>
        <w:rPr>
          <w:b w:val="0"/>
          <w:color w:val="00125C"/>
        </w:rPr>
      </w:pPr>
      <w:r w:rsidRPr="00EB545C">
        <w:rPr>
          <w:b w:val="0"/>
          <w:color w:val="00125C"/>
        </w:rPr>
        <w:t>Eligibility criteria for applicant organisations</w:t>
      </w:r>
    </w:p>
    <w:p w14:paraId="086B0C91" w14:textId="77777777" w:rsidR="00FB06F0" w:rsidRPr="00EB545C" w:rsidRDefault="004F253D">
      <w:pPr>
        <w:pStyle w:val="Textoindependiente"/>
        <w:spacing w:before="138" w:line="321" w:lineRule="auto"/>
        <w:ind w:left="475" w:right="21" w:hanging="10"/>
        <w:jc w:val="both"/>
      </w:pPr>
      <w:r w:rsidRPr="00EB545C">
        <w:t>Proposals shall be submitted by one entity, which act as the (non-profit) lead applicant and may include other entities as co-applicant partners.</w:t>
      </w:r>
    </w:p>
    <w:p w14:paraId="0DCDBFBD" w14:textId="77777777" w:rsidR="00FB06F0" w:rsidRPr="00EB545C" w:rsidRDefault="004F253D">
      <w:pPr>
        <w:spacing w:before="89"/>
        <w:ind w:left="466"/>
        <w:jc w:val="both"/>
        <w:rPr>
          <w:sz w:val="20"/>
        </w:rPr>
      </w:pPr>
      <w:r w:rsidRPr="00EB545C">
        <w:rPr>
          <w:rFonts w:ascii="Arial Black"/>
          <w:sz w:val="20"/>
        </w:rPr>
        <w:t xml:space="preserve">Eligible organisations </w:t>
      </w:r>
      <w:r w:rsidRPr="00EB545C">
        <w:rPr>
          <w:sz w:val="20"/>
        </w:rPr>
        <w:t xml:space="preserve">must comply with the following criteria: </w:t>
      </w:r>
    </w:p>
    <w:p w14:paraId="29417DD1" w14:textId="77777777" w:rsidR="00FB06F0" w:rsidRPr="00EB545C" w:rsidRDefault="004F253D">
      <w:pPr>
        <w:pStyle w:val="Prrafodelista"/>
        <w:numPr>
          <w:ilvl w:val="0"/>
          <w:numId w:val="4"/>
        </w:numPr>
        <w:tabs>
          <w:tab w:val="left" w:pos="907"/>
        </w:tabs>
        <w:spacing w:before="59"/>
        <w:rPr>
          <w:sz w:val="20"/>
        </w:rPr>
      </w:pPr>
      <w:r w:rsidRPr="00EB545C">
        <w:rPr>
          <w:sz w:val="20"/>
        </w:rPr>
        <w:t xml:space="preserve">They must have been legally incorporated, and at least 3 years must have elapsed since they were created. </w:t>
      </w:r>
    </w:p>
    <w:p w14:paraId="508491B1" w14:textId="0B4195D9" w:rsidR="00FB06F0" w:rsidRPr="00EB545C" w:rsidRDefault="004F253D">
      <w:pPr>
        <w:pStyle w:val="Prrafodelista"/>
        <w:numPr>
          <w:ilvl w:val="0"/>
          <w:numId w:val="4"/>
        </w:numPr>
        <w:tabs>
          <w:tab w:val="left" w:pos="907"/>
        </w:tabs>
        <w:spacing w:before="76"/>
        <w:rPr>
          <w:sz w:val="20"/>
        </w:rPr>
      </w:pPr>
      <w:r w:rsidRPr="00EB545C">
        <w:rPr>
          <w:sz w:val="20"/>
        </w:rPr>
        <w:t>They must be non-profit organizations.</w:t>
      </w:r>
    </w:p>
    <w:p w14:paraId="08D61A2E" w14:textId="77777777" w:rsidR="00FB06F0" w:rsidRPr="00EB545C" w:rsidRDefault="004F253D">
      <w:pPr>
        <w:pStyle w:val="Prrafodelista"/>
        <w:numPr>
          <w:ilvl w:val="0"/>
          <w:numId w:val="4"/>
        </w:numPr>
        <w:tabs>
          <w:tab w:val="left" w:pos="907"/>
        </w:tabs>
        <w:spacing w:before="79"/>
        <w:rPr>
          <w:sz w:val="20"/>
        </w:rPr>
      </w:pPr>
      <w:r w:rsidRPr="00EB545C">
        <w:rPr>
          <w:sz w:val="20"/>
        </w:rPr>
        <w:t>They must be established in one of the Latin American countries.</w:t>
      </w:r>
    </w:p>
    <w:p w14:paraId="18B71940" w14:textId="77777777" w:rsidR="00FB06F0" w:rsidRPr="00EB545C" w:rsidRDefault="004F253D">
      <w:pPr>
        <w:pStyle w:val="Prrafodelista"/>
        <w:numPr>
          <w:ilvl w:val="0"/>
          <w:numId w:val="4"/>
        </w:numPr>
        <w:tabs>
          <w:tab w:val="left" w:pos="907"/>
        </w:tabs>
        <w:spacing w:before="77" w:line="319" w:lineRule="auto"/>
        <w:ind w:right="25"/>
        <w:rPr>
          <w:sz w:val="20"/>
        </w:rPr>
      </w:pPr>
      <w:r w:rsidRPr="00EB545C">
        <w:rPr>
          <w:sz w:val="20"/>
        </w:rPr>
        <w:t>They must have at least 3 years' experience in the topics of the thematic scope of the call, and they must prove this experience by means of a report from the institution or a list of projects carried out.</w:t>
      </w:r>
    </w:p>
    <w:p w14:paraId="43506B1D" w14:textId="77777777" w:rsidR="00FB06F0" w:rsidRPr="00EB545C" w:rsidRDefault="004F253D">
      <w:pPr>
        <w:pStyle w:val="Prrafodelista"/>
        <w:numPr>
          <w:ilvl w:val="0"/>
          <w:numId w:val="4"/>
        </w:numPr>
        <w:tabs>
          <w:tab w:val="left" w:pos="907"/>
        </w:tabs>
        <w:rPr>
          <w:sz w:val="20"/>
        </w:rPr>
      </w:pPr>
      <w:r w:rsidRPr="00EB545C">
        <w:rPr>
          <w:sz w:val="20"/>
        </w:rPr>
        <w:t>Provide proof of financial solvency by submitting the latest available audit.</w:t>
      </w:r>
    </w:p>
    <w:p w14:paraId="7F2A2095" w14:textId="77777777" w:rsidR="00FB06F0" w:rsidRPr="00EB545C" w:rsidRDefault="004F253D">
      <w:pPr>
        <w:pStyle w:val="Prrafodelista"/>
        <w:numPr>
          <w:ilvl w:val="0"/>
          <w:numId w:val="4"/>
        </w:numPr>
        <w:tabs>
          <w:tab w:val="left" w:pos="907"/>
        </w:tabs>
        <w:spacing w:before="78" w:line="319" w:lineRule="auto"/>
        <w:ind w:right="24"/>
        <w:jc w:val="both"/>
        <w:rPr>
          <w:sz w:val="20"/>
        </w:rPr>
      </w:pPr>
      <w:r w:rsidRPr="00EB545C">
        <w:rPr>
          <w:sz w:val="20"/>
        </w:rPr>
        <w:t>They must not fall under any of the circumstances listed in Article 13 of Spanish Law 38/2003, of 17 November, General Law on Subsidies, which prevent them from obtaining the status of beneficiary of public aid. Detailed below:</w:t>
      </w:r>
    </w:p>
    <w:p w14:paraId="0E30E74C" w14:textId="77777777" w:rsidR="00FB06F0" w:rsidRPr="00EB545C" w:rsidRDefault="004F253D">
      <w:pPr>
        <w:pStyle w:val="Prrafodelista"/>
        <w:numPr>
          <w:ilvl w:val="1"/>
          <w:numId w:val="4"/>
        </w:numPr>
        <w:tabs>
          <w:tab w:val="left" w:pos="1200"/>
        </w:tabs>
        <w:spacing w:line="232" w:lineRule="exact"/>
        <w:rPr>
          <w:sz w:val="20"/>
        </w:rPr>
      </w:pPr>
      <w:r w:rsidRPr="00EB545C">
        <w:rPr>
          <w:sz w:val="20"/>
        </w:rPr>
        <w:t>Final convictions for corruption, fraud, embezzlement or similar offences.</w:t>
      </w:r>
    </w:p>
    <w:p w14:paraId="05260922" w14:textId="77777777" w:rsidR="00FB06F0" w:rsidRPr="00EB545C" w:rsidRDefault="004F253D">
      <w:pPr>
        <w:pStyle w:val="Prrafodelista"/>
        <w:numPr>
          <w:ilvl w:val="1"/>
          <w:numId w:val="4"/>
        </w:numPr>
        <w:tabs>
          <w:tab w:val="left" w:pos="1200"/>
        </w:tabs>
        <w:spacing w:before="38" w:line="276" w:lineRule="auto"/>
        <w:ind w:right="288"/>
        <w:rPr>
          <w:sz w:val="20"/>
        </w:rPr>
      </w:pPr>
      <w:r w:rsidRPr="00EB545C">
        <w:rPr>
          <w:sz w:val="20"/>
        </w:rPr>
        <w:t>Insolvency, bankruptcy or insolvency proceedings, unless there is a legal agreement in force.</w:t>
      </w:r>
    </w:p>
    <w:p w14:paraId="1F390B82" w14:textId="77777777" w:rsidR="00FB06F0" w:rsidRPr="00EB545C" w:rsidRDefault="004F253D">
      <w:pPr>
        <w:pStyle w:val="Prrafodelista"/>
        <w:numPr>
          <w:ilvl w:val="1"/>
          <w:numId w:val="4"/>
        </w:numPr>
        <w:tabs>
          <w:tab w:val="left" w:pos="1200"/>
        </w:tabs>
        <w:spacing w:before="3"/>
        <w:rPr>
          <w:sz w:val="20"/>
        </w:rPr>
      </w:pPr>
      <w:r w:rsidRPr="00EB545C">
        <w:rPr>
          <w:sz w:val="20"/>
        </w:rPr>
        <w:t>History of serious breaches of contracts with public administrations.</w:t>
      </w:r>
    </w:p>
    <w:p w14:paraId="6A7B4FDE" w14:textId="77777777" w:rsidR="00FB06F0" w:rsidRPr="00EB545C" w:rsidRDefault="004F253D">
      <w:pPr>
        <w:pStyle w:val="Prrafodelista"/>
        <w:numPr>
          <w:ilvl w:val="1"/>
          <w:numId w:val="4"/>
        </w:numPr>
        <w:tabs>
          <w:tab w:val="left" w:pos="1200"/>
        </w:tabs>
        <w:spacing w:before="36"/>
        <w:rPr>
          <w:sz w:val="20"/>
        </w:rPr>
      </w:pPr>
      <w:r w:rsidRPr="00EB545C">
        <w:rPr>
          <w:sz w:val="20"/>
        </w:rPr>
        <w:t>Incompatibilities due to holding a public office or conflicts of interest.</w:t>
      </w:r>
    </w:p>
    <w:p w14:paraId="17B3E918" w14:textId="77777777" w:rsidR="00FB06F0" w:rsidRPr="00EB545C" w:rsidRDefault="004F253D">
      <w:pPr>
        <w:pStyle w:val="Prrafodelista"/>
        <w:numPr>
          <w:ilvl w:val="1"/>
          <w:numId w:val="4"/>
        </w:numPr>
        <w:tabs>
          <w:tab w:val="left" w:pos="1200"/>
        </w:tabs>
        <w:spacing w:before="38" w:line="276" w:lineRule="auto"/>
        <w:ind w:right="642"/>
        <w:rPr>
          <w:sz w:val="20"/>
        </w:rPr>
      </w:pPr>
      <w:r w:rsidRPr="00EB545C">
        <w:rPr>
          <w:sz w:val="20"/>
        </w:rPr>
        <w:t>Failure to comply with tax or social security obligations, or the repayment of previous subsidies.</w:t>
      </w:r>
    </w:p>
    <w:p w14:paraId="6C01F158" w14:textId="77777777" w:rsidR="00FB06F0" w:rsidRPr="00EB545C" w:rsidRDefault="004F253D">
      <w:pPr>
        <w:pStyle w:val="Prrafodelista"/>
        <w:numPr>
          <w:ilvl w:val="1"/>
          <w:numId w:val="4"/>
        </w:numPr>
        <w:tabs>
          <w:tab w:val="left" w:pos="1200"/>
        </w:tabs>
        <w:spacing w:before="3"/>
        <w:rPr>
          <w:sz w:val="20"/>
        </w:rPr>
      </w:pPr>
      <w:r w:rsidRPr="00EB545C">
        <w:rPr>
          <w:sz w:val="20"/>
        </w:rPr>
        <w:lastRenderedPageBreak/>
        <w:t>Tax residence in jurisdictions considered tax havens.</w:t>
      </w:r>
    </w:p>
    <w:p w14:paraId="468E2E48" w14:textId="77777777" w:rsidR="00FC414A" w:rsidRDefault="004F253D" w:rsidP="00FC414A">
      <w:pPr>
        <w:pStyle w:val="Prrafodelista"/>
        <w:numPr>
          <w:ilvl w:val="1"/>
          <w:numId w:val="4"/>
        </w:numPr>
        <w:tabs>
          <w:tab w:val="left" w:pos="1200"/>
        </w:tabs>
        <w:spacing w:before="36" w:line="278" w:lineRule="auto"/>
        <w:ind w:right="364"/>
        <w:rPr>
          <w:sz w:val="20"/>
        </w:rPr>
      </w:pPr>
      <w:r w:rsidRPr="00EB545C">
        <w:rPr>
          <w:sz w:val="20"/>
        </w:rPr>
        <w:t>Administrative sanctions involving the loss of entitlement to public subsidies.</w:t>
      </w:r>
    </w:p>
    <w:p w14:paraId="7B117E1A" w14:textId="1654996A" w:rsidR="00FB06F0" w:rsidRPr="00FC414A" w:rsidRDefault="004F253D" w:rsidP="00FC414A">
      <w:pPr>
        <w:pStyle w:val="Prrafodelista"/>
        <w:numPr>
          <w:ilvl w:val="1"/>
          <w:numId w:val="4"/>
        </w:numPr>
        <w:tabs>
          <w:tab w:val="left" w:pos="1200"/>
        </w:tabs>
        <w:spacing w:before="36" w:line="278" w:lineRule="auto"/>
        <w:ind w:right="364"/>
        <w:rPr>
          <w:sz w:val="20"/>
        </w:rPr>
      </w:pPr>
      <w:r w:rsidRPr="00FC414A">
        <w:rPr>
          <w:sz w:val="20"/>
        </w:rPr>
        <w:t>In projects implemented by joint ventures or alliances, when any of the members are affected by these prohibitions.</w:t>
      </w:r>
    </w:p>
    <w:p w14:paraId="691FB66F" w14:textId="77777777" w:rsidR="00FB06F0" w:rsidRPr="00EB545C" w:rsidRDefault="004F253D">
      <w:pPr>
        <w:pStyle w:val="Prrafodelista"/>
        <w:numPr>
          <w:ilvl w:val="1"/>
          <w:numId w:val="4"/>
        </w:numPr>
        <w:tabs>
          <w:tab w:val="left" w:pos="1200"/>
        </w:tabs>
        <w:spacing w:line="278" w:lineRule="auto"/>
        <w:ind w:right="717"/>
        <w:rPr>
          <w:sz w:val="20"/>
        </w:rPr>
      </w:pPr>
      <w:r w:rsidRPr="00EB545C">
        <w:rPr>
          <w:sz w:val="20"/>
        </w:rPr>
        <w:t>Organisations that are a formal or informal continuation of previously sanctioned organisations.</w:t>
      </w:r>
    </w:p>
    <w:p w14:paraId="00A6BE6F" w14:textId="77777777" w:rsidR="00FB06F0" w:rsidRPr="00EB545C" w:rsidRDefault="004F253D">
      <w:pPr>
        <w:pStyle w:val="Prrafodelista"/>
        <w:numPr>
          <w:ilvl w:val="1"/>
          <w:numId w:val="4"/>
        </w:numPr>
        <w:tabs>
          <w:tab w:val="left" w:pos="1200"/>
        </w:tabs>
        <w:spacing w:line="278" w:lineRule="auto"/>
        <w:ind w:right="651"/>
        <w:rPr>
          <w:sz w:val="20"/>
        </w:rPr>
      </w:pPr>
      <w:r w:rsidRPr="00EB545C">
        <w:rPr>
          <w:sz w:val="20"/>
        </w:rPr>
        <w:t xml:space="preserve">Entities should not be on the EU Restrictive Measures list, see </w:t>
      </w:r>
      <w:hyperlink r:id="rId10">
        <w:r w:rsidRPr="00EB545C">
          <w:rPr>
            <w:color w:val="0462C1"/>
            <w:sz w:val="20"/>
            <w:u w:val="single" w:color="0462C1"/>
          </w:rPr>
          <w:t>http://www.sanctionsmap.eu</w:t>
        </w:r>
      </w:hyperlink>
      <w:r w:rsidRPr="00EB545C">
        <w:rPr>
          <w:color w:val="0462C1"/>
          <w:sz w:val="20"/>
        </w:rPr>
        <w:t xml:space="preserve"> </w:t>
      </w:r>
      <w:r w:rsidRPr="00EB545C">
        <w:rPr>
          <w:sz w:val="20"/>
        </w:rPr>
        <w:t>(“EU Restrictive Measures”) or in the EDES exclusion database.</w:t>
      </w:r>
    </w:p>
    <w:p w14:paraId="17E45057" w14:textId="77777777" w:rsidR="00FB06F0" w:rsidRPr="00EB545C" w:rsidRDefault="00FB06F0">
      <w:pPr>
        <w:pStyle w:val="Textoindependiente"/>
        <w:spacing w:before="10"/>
      </w:pPr>
    </w:p>
    <w:p w14:paraId="2CEACCEF" w14:textId="77777777" w:rsidR="00FB06F0" w:rsidRPr="00EB545C" w:rsidRDefault="004F253D">
      <w:pPr>
        <w:pStyle w:val="Ttulo3"/>
        <w:numPr>
          <w:ilvl w:val="0"/>
          <w:numId w:val="5"/>
        </w:numPr>
        <w:tabs>
          <w:tab w:val="left" w:pos="500"/>
        </w:tabs>
        <w:ind w:left="500" w:hanging="303"/>
        <w:rPr>
          <w:b w:val="0"/>
          <w:color w:val="00125C"/>
        </w:rPr>
      </w:pPr>
      <w:r w:rsidRPr="00EB545C">
        <w:rPr>
          <w:b w:val="0"/>
          <w:color w:val="00125C"/>
        </w:rPr>
        <w:t>Phases of the call</w:t>
      </w:r>
    </w:p>
    <w:p w14:paraId="46C4BC10" w14:textId="77777777" w:rsidR="00FB06F0" w:rsidRPr="00EB545C" w:rsidRDefault="004F253D">
      <w:pPr>
        <w:pStyle w:val="Textoindependiente"/>
        <w:spacing w:before="138"/>
        <w:ind w:left="466"/>
      </w:pPr>
      <w:r w:rsidRPr="00EB545C">
        <w:t>The call procedure comprises four phases:</w:t>
      </w:r>
    </w:p>
    <w:p w14:paraId="046F7BBC" w14:textId="77777777" w:rsidR="00FB06F0" w:rsidRPr="00EB545C" w:rsidRDefault="004F253D">
      <w:pPr>
        <w:spacing w:before="172"/>
        <w:ind w:left="480"/>
        <w:rPr>
          <w:sz w:val="20"/>
        </w:rPr>
      </w:pPr>
      <w:r w:rsidRPr="00EB545C">
        <w:rPr>
          <w:rFonts w:ascii="Arial Black" w:hAnsi="Arial Black"/>
          <w:sz w:val="20"/>
        </w:rPr>
        <w:t xml:space="preserve">1. Preparation and submission of proposals - </w:t>
      </w:r>
      <w:r w:rsidRPr="00EB545C">
        <w:rPr>
          <w:sz w:val="20"/>
        </w:rPr>
        <w:t>(up to the date stated in paragraph 8).</w:t>
      </w:r>
    </w:p>
    <w:p w14:paraId="43EA82DC" w14:textId="77777777" w:rsidR="00FB06F0" w:rsidRPr="00EB545C" w:rsidRDefault="004F253D">
      <w:pPr>
        <w:spacing w:before="180"/>
        <w:ind w:left="480"/>
        <w:rPr>
          <w:rFonts w:ascii="Calibri"/>
          <w:i/>
          <w:sz w:val="20"/>
        </w:rPr>
      </w:pPr>
      <w:r w:rsidRPr="00EB545C">
        <w:rPr>
          <w:rFonts w:ascii="Calibri"/>
          <w:i/>
          <w:sz w:val="20"/>
        </w:rPr>
        <w:t>On behalf of the proposers</w:t>
      </w:r>
    </w:p>
    <w:p w14:paraId="16AB082B" w14:textId="77777777" w:rsidR="00FB06F0" w:rsidRPr="00EB545C" w:rsidRDefault="004F253D">
      <w:pPr>
        <w:pStyle w:val="Prrafodelista"/>
        <w:numPr>
          <w:ilvl w:val="0"/>
          <w:numId w:val="3"/>
        </w:numPr>
        <w:tabs>
          <w:tab w:val="left" w:pos="1200"/>
        </w:tabs>
        <w:spacing w:before="180"/>
        <w:rPr>
          <w:sz w:val="20"/>
        </w:rPr>
      </w:pPr>
      <w:r w:rsidRPr="00EB545C">
        <w:rPr>
          <w:sz w:val="20"/>
        </w:rPr>
        <w:t>Submission of the pre-identification form (Annex 1),</w:t>
      </w:r>
    </w:p>
    <w:p w14:paraId="3A650FB8" w14:textId="234E8BED" w:rsidR="00FB06F0" w:rsidRPr="00EB545C" w:rsidRDefault="004F253D">
      <w:pPr>
        <w:pStyle w:val="Prrafodelista"/>
        <w:numPr>
          <w:ilvl w:val="0"/>
          <w:numId w:val="3"/>
        </w:numPr>
        <w:tabs>
          <w:tab w:val="left" w:pos="1200"/>
        </w:tabs>
        <w:spacing w:before="66" w:line="312" w:lineRule="auto"/>
        <w:ind w:right="26"/>
        <w:rPr>
          <w:position w:val="7"/>
          <w:sz w:val="13"/>
        </w:rPr>
      </w:pPr>
      <w:r w:rsidRPr="00EB545C">
        <w:rPr>
          <w:sz w:val="20"/>
        </w:rPr>
        <w:t>Submission of documents proving compliance with the organisation's eligibility criteria as stated in paragraph 5</w:t>
      </w:r>
      <w:r w:rsidR="00FC414A">
        <w:rPr>
          <w:rStyle w:val="Refdenotaalpie"/>
          <w:sz w:val="20"/>
        </w:rPr>
        <w:footnoteReference w:id="6"/>
      </w:r>
    </w:p>
    <w:p w14:paraId="5218E53A" w14:textId="196485CF" w:rsidR="00FB06F0" w:rsidRPr="00EB545C" w:rsidRDefault="004F253D">
      <w:pPr>
        <w:pStyle w:val="Prrafodelista"/>
        <w:numPr>
          <w:ilvl w:val="0"/>
          <w:numId w:val="3"/>
        </w:numPr>
        <w:tabs>
          <w:tab w:val="left" w:pos="1200"/>
        </w:tabs>
        <w:spacing w:line="316" w:lineRule="auto"/>
        <w:ind w:right="196"/>
        <w:rPr>
          <w:sz w:val="20"/>
        </w:rPr>
      </w:pPr>
      <w:r w:rsidRPr="00EB545C">
        <w:rPr>
          <w:sz w:val="20"/>
        </w:rPr>
        <w:t>It is advised to provide at this stage a letter of endorsement from the public institution(s) or indigenous or local authority(</w:t>
      </w:r>
      <w:proofErr w:type="spellStart"/>
      <w:r w:rsidRPr="00EB545C">
        <w:rPr>
          <w:sz w:val="20"/>
        </w:rPr>
        <w:t>ies</w:t>
      </w:r>
      <w:proofErr w:type="spellEnd"/>
      <w:r w:rsidRPr="00EB545C">
        <w:rPr>
          <w:sz w:val="20"/>
        </w:rPr>
        <w:t xml:space="preserve">) with which the pre-identification has been carried out. Only in case of not having it, the contacts that have been informed from the Programme design draft (Annex 2) and from the pre-identification form shall be detailed. </w:t>
      </w:r>
      <w:r w:rsidRPr="00EB545C">
        <w:rPr>
          <w:sz w:val="20"/>
          <w:u w:val="single"/>
        </w:rPr>
        <w:t>In any case, the letter of endorsement must be provided during the full preparation phase.</w:t>
      </w:r>
    </w:p>
    <w:p w14:paraId="201EC4AE" w14:textId="77777777" w:rsidR="00FB06F0" w:rsidRPr="00EB545C" w:rsidRDefault="004F253D">
      <w:pPr>
        <w:pStyle w:val="Ttulo5"/>
        <w:spacing w:before="101"/>
        <w:jc w:val="left"/>
        <w:rPr>
          <w:b w:val="0"/>
        </w:rPr>
      </w:pPr>
      <w:r w:rsidRPr="00EB545C">
        <w:rPr>
          <w:b w:val="0"/>
        </w:rPr>
        <w:t>2. Evaluation of proposals</w:t>
      </w:r>
    </w:p>
    <w:p w14:paraId="576BFC2F" w14:textId="77777777" w:rsidR="00FB06F0" w:rsidRPr="00EB545C" w:rsidRDefault="004F253D">
      <w:pPr>
        <w:spacing w:before="179"/>
        <w:ind w:left="480"/>
        <w:rPr>
          <w:rFonts w:ascii="Calibri"/>
          <w:i/>
          <w:sz w:val="20"/>
        </w:rPr>
      </w:pPr>
      <w:r w:rsidRPr="00EB545C">
        <w:rPr>
          <w:rFonts w:ascii="Calibri"/>
          <w:i/>
          <w:sz w:val="20"/>
        </w:rPr>
        <w:t>On behalf of AECID</w:t>
      </w:r>
    </w:p>
    <w:p w14:paraId="64B68105" w14:textId="77777777" w:rsidR="00FB06F0" w:rsidRPr="00EB545C" w:rsidRDefault="004F253D">
      <w:pPr>
        <w:pStyle w:val="Prrafodelista"/>
        <w:numPr>
          <w:ilvl w:val="0"/>
          <w:numId w:val="3"/>
        </w:numPr>
        <w:tabs>
          <w:tab w:val="left" w:pos="1200"/>
        </w:tabs>
        <w:spacing w:before="161" w:line="266" w:lineRule="auto"/>
        <w:ind w:right="25"/>
        <w:rPr>
          <w:sz w:val="20"/>
        </w:rPr>
      </w:pPr>
      <w:r w:rsidRPr="00EB545C">
        <w:rPr>
          <w:sz w:val="20"/>
        </w:rPr>
        <w:t xml:space="preserve">Evaluation of proposals and assessment of applicant organisations by the </w:t>
      </w:r>
      <w:r w:rsidRPr="00EB545C">
        <w:rPr>
          <w:rFonts w:ascii="Arial Black" w:hAnsi="Arial Black"/>
          <w:sz w:val="20"/>
        </w:rPr>
        <w:t>Evaluation Committee</w:t>
      </w:r>
      <w:r w:rsidRPr="00EB545C">
        <w:rPr>
          <w:sz w:val="20"/>
        </w:rPr>
        <w:t>.</w:t>
      </w:r>
    </w:p>
    <w:p w14:paraId="488096E0" w14:textId="77777777" w:rsidR="00FB06F0" w:rsidRPr="00EB545C" w:rsidRDefault="004F253D">
      <w:pPr>
        <w:pStyle w:val="Prrafodelista"/>
        <w:numPr>
          <w:ilvl w:val="0"/>
          <w:numId w:val="3"/>
        </w:numPr>
        <w:tabs>
          <w:tab w:val="left" w:pos="1200"/>
        </w:tabs>
        <w:spacing w:before="19"/>
        <w:rPr>
          <w:sz w:val="20"/>
        </w:rPr>
      </w:pPr>
      <w:r w:rsidRPr="00EB545C">
        <w:rPr>
          <w:sz w:val="20"/>
        </w:rPr>
        <w:t>Request, where appropriate, for additional clarifications to the proposals submitted.</w:t>
      </w:r>
    </w:p>
    <w:p w14:paraId="0828E519" w14:textId="46F3AC80" w:rsidR="00FC414A" w:rsidRDefault="004F253D">
      <w:pPr>
        <w:pStyle w:val="Prrafodelista"/>
        <w:numPr>
          <w:ilvl w:val="0"/>
          <w:numId w:val="3"/>
        </w:numPr>
        <w:tabs>
          <w:tab w:val="left" w:pos="1200"/>
        </w:tabs>
        <w:spacing w:before="67"/>
        <w:rPr>
          <w:sz w:val="20"/>
        </w:rPr>
      </w:pPr>
      <w:r w:rsidRPr="00EB545C">
        <w:rPr>
          <w:sz w:val="20"/>
        </w:rPr>
        <w:t>Pre-selection of proposals for the next phase.</w:t>
      </w:r>
    </w:p>
    <w:p w14:paraId="0D2D79ED" w14:textId="77777777" w:rsidR="00FC414A" w:rsidRDefault="00FC414A">
      <w:pPr>
        <w:rPr>
          <w:sz w:val="20"/>
        </w:rPr>
      </w:pPr>
      <w:r>
        <w:rPr>
          <w:sz w:val="20"/>
        </w:rPr>
        <w:br w:type="page"/>
      </w:r>
    </w:p>
    <w:p w14:paraId="1A6244BC" w14:textId="77777777" w:rsidR="00FB06F0" w:rsidRPr="00EB545C" w:rsidRDefault="00FB06F0">
      <w:pPr>
        <w:pStyle w:val="Prrafodelista"/>
        <w:numPr>
          <w:ilvl w:val="0"/>
          <w:numId w:val="3"/>
        </w:numPr>
        <w:tabs>
          <w:tab w:val="left" w:pos="1200"/>
        </w:tabs>
        <w:spacing w:before="67"/>
        <w:rPr>
          <w:sz w:val="20"/>
        </w:rPr>
      </w:pPr>
    </w:p>
    <w:p w14:paraId="23E99BC4" w14:textId="77777777" w:rsidR="00FB06F0" w:rsidRPr="00EB545C" w:rsidRDefault="004F253D">
      <w:pPr>
        <w:pStyle w:val="Ttulo5"/>
        <w:spacing w:before="170" w:line="266" w:lineRule="auto"/>
        <w:ind w:left="490" w:hanging="10"/>
        <w:jc w:val="left"/>
        <w:rPr>
          <w:b w:val="0"/>
        </w:rPr>
      </w:pPr>
      <w:r w:rsidRPr="00EB545C">
        <w:rPr>
          <w:b w:val="0"/>
        </w:rPr>
        <w:t>3. Project formulation (an estimated 6 weeks, counting from the day after the notification of the pre-selected proposals)</w:t>
      </w:r>
    </w:p>
    <w:p w14:paraId="5B91B978" w14:textId="77777777" w:rsidR="00FC414A" w:rsidRDefault="004F253D" w:rsidP="00FC414A">
      <w:pPr>
        <w:pStyle w:val="Prrafodelista"/>
        <w:numPr>
          <w:ilvl w:val="1"/>
          <w:numId w:val="2"/>
        </w:numPr>
        <w:tabs>
          <w:tab w:val="left" w:pos="1200"/>
        </w:tabs>
        <w:spacing w:line="316" w:lineRule="auto"/>
        <w:ind w:right="25"/>
        <w:jc w:val="both"/>
        <w:rPr>
          <w:sz w:val="20"/>
        </w:rPr>
      </w:pPr>
      <w:r w:rsidRPr="00FC414A">
        <w:rPr>
          <w:sz w:val="20"/>
        </w:rPr>
        <w:t>Notification and invitation by AECID to the organisations whose proposals have been pre-selected to submit complete project sheets.</w:t>
      </w:r>
    </w:p>
    <w:p w14:paraId="441DB0CB" w14:textId="0BF1F005" w:rsidR="00FB06F0" w:rsidRPr="00FC414A" w:rsidRDefault="004F253D" w:rsidP="00FC414A">
      <w:pPr>
        <w:pStyle w:val="Prrafodelista"/>
        <w:numPr>
          <w:ilvl w:val="1"/>
          <w:numId w:val="2"/>
        </w:numPr>
        <w:tabs>
          <w:tab w:val="left" w:pos="1200"/>
        </w:tabs>
        <w:spacing w:line="316" w:lineRule="auto"/>
        <w:ind w:right="25"/>
        <w:jc w:val="both"/>
        <w:rPr>
          <w:sz w:val="20"/>
        </w:rPr>
      </w:pPr>
      <w:r w:rsidRPr="00FC414A">
        <w:rPr>
          <w:sz w:val="20"/>
        </w:rPr>
        <w:t xml:space="preserve">Request, if necessary, from AECID, for modifications to the proposals based on technical recommendations, to ensure that they may be implemented together with the Great Forests of Mesoamerica and </w:t>
      </w:r>
      <w:proofErr w:type="spellStart"/>
      <w:r w:rsidRPr="00FC414A">
        <w:rPr>
          <w:sz w:val="20"/>
        </w:rPr>
        <w:t>Trifinio</w:t>
      </w:r>
      <w:proofErr w:type="spellEnd"/>
      <w:r w:rsidRPr="00FC414A">
        <w:rPr>
          <w:sz w:val="20"/>
        </w:rPr>
        <w:t xml:space="preserve"> programme.</w:t>
      </w:r>
    </w:p>
    <w:p w14:paraId="42142999" w14:textId="77777777" w:rsidR="00FB06F0" w:rsidRPr="00EB545C" w:rsidRDefault="004F253D" w:rsidP="00FC414A">
      <w:pPr>
        <w:pStyle w:val="Prrafodelista"/>
        <w:numPr>
          <w:ilvl w:val="1"/>
          <w:numId w:val="2"/>
        </w:numPr>
        <w:tabs>
          <w:tab w:val="left" w:pos="1200"/>
        </w:tabs>
        <w:spacing w:line="312" w:lineRule="auto"/>
        <w:ind w:right="25"/>
        <w:jc w:val="both"/>
        <w:rPr>
          <w:sz w:val="20"/>
        </w:rPr>
      </w:pPr>
      <w:r w:rsidRPr="00EB545C">
        <w:rPr>
          <w:sz w:val="20"/>
        </w:rPr>
        <w:t>Submission by the proponents of letters of support and/or endorsement from the public institution(s)/indigenous/local authorities.</w:t>
      </w:r>
    </w:p>
    <w:p w14:paraId="1A8CA1DC" w14:textId="77777777" w:rsidR="00FB06F0" w:rsidRPr="00EB545C" w:rsidRDefault="004F253D" w:rsidP="00FC414A">
      <w:pPr>
        <w:pStyle w:val="Prrafodelista"/>
        <w:numPr>
          <w:ilvl w:val="1"/>
          <w:numId w:val="2"/>
        </w:numPr>
        <w:tabs>
          <w:tab w:val="left" w:pos="1199"/>
        </w:tabs>
        <w:ind w:left="1199" w:hanging="359"/>
        <w:jc w:val="both"/>
        <w:rPr>
          <w:sz w:val="20"/>
        </w:rPr>
      </w:pPr>
      <w:r w:rsidRPr="00EB545C">
        <w:rPr>
          <w:sz w:val="20"/>
        </w:rPr>
        <w:t>Meetings to answer questions and coordination between AECID and the proposing entities.</w:t>
      </w:r>
    </w:p>
    <w:p w14:paraId="202A2F25" w14:textId="77777777" w:rsidR="00FB06F0" w:rsidRPr="00EB545C" w:rsidRDefault="004F253D" w:rsidP="00FC414A">
      <w:pPr>
        <w:pStyle w:val="Prrafodelista"/>
        <w:numPr>
          <w:ilvl w:val="1"/>
          <w:numId w:val="2"/>
        </w:numPr>
        <w:tabs>
          <w:tab w:val="left" w:pos="1199"/>
        </w:tabs>
        <w:ind w:left="1199" w:hanging="359"/>
        <w:jc w:val="both"/>
        <w:rPr>
          <w:sz w:val="20"/>
        </w:rPr>
      </w:pPr>
      <w:r w:rsidRPr="00EB545C">
        <w:rPr>
          <w:sz w:val="20"/>
        </w:rPr>
        <w:t>Approval by AECID of the projects that move on to the 3rd phase.</w:t>
      </w:r>
    </w:p>
    <w:p w14:paraId="0D5F5717" w14:textId="77777777" w:rsidR="00FB06F0" w:rsidRPr="00EB545C" w:rsidRDefault="004F253D" w:rsidP="00FC414A">
      <w:pPr>
        <w:pStyle w:val="Prrafodelista"/>
        <w:numPr>
          <w:ilvl w:val="1"/>
          <w:numId w:val="2"/>
        </w:numPr>
        <w:tabs>
          <w:tab w:val="left" w:pos="1200"/>
        </w:tabs>
        <w:spacing w:line="316" w:lineRule="auto"/>
        <w:ind w:right="25"/>
        <w:jc w:val="both"/>
        <w:rPr>
          <w:sz w:val="20"/>
        </w:rPr>
      </w:pPr>
      <w:r w:rsidRPr="00EB545C">
        <w:rPr>
          <w:sz w:val="20"/>
        </w:rPr>
        <w:t>In the event that not all the resources are allocated, or if any of the projects selected do not proceed to the next phase, the projects not selected in the first instance may be considered in the reserve quota and shall be listed according to their score.</w:t>
      </w:r>
    </w:p>
    <w:p w14:paraId="1D9CCD1F" w14:textId="77777777" w:rsidR="00FB06F0" w:rsidRPr="00EB545C" w:rsidRDefault="004F253D">
      <w:pPr>
        <w:pStyle w:val="Ttulo5"/>
        <w:rPr>
          <w:b w:val="0"/>
        </w:rPr>
      </w:pPr>
      <w:r w:rsidRPr="00EB545C">
        <w:rPr>
          <w:b w:val="0"/>
        </w:rPr>
        <w:t>4. Grant award phase for projects</w:t>
      </w:r>
    </w:p>
    <w:p w14:paraId="2375E7D8" w14:textId="77777777" w:rsidR="00FB06F0" w:rsidRPr="00EB545C" w:rsidRDefault="004F253D">
      <w:pPr>
        <w:pStyle w:val="Prrafodelista"/>
        <w:numPr>
          <w:ilvl w:val="1"/>
          <w:numId w:val="2"/>
        </w:numPr>
        <w:tabs>
          <w:tab w:val="left" w:pos="1200"/>
        </w:tabs>
        <w:spacing w:before="171" w:line="314" w:lineRule="auto"/>
        <w:ind w:right="23"/>
        <w:jc w:val="both"/>
        <w:rPr>
          <w:sz w:val="20"/>
        </w:rPr>
      </w:pPr>
      <w:r w:rsidRPr="00EB545C">
        <w:rPr>
          <w:sz w:val="20"/>
        </w:rPr>
        <w:t>The preparation documents are submitted for processing by AECID through the Directorate for Latin America and the Caribbean.</w:t>
      </w:r>
    </w:p>
    <w:p w14:paraId="7D4C0B2D" w14:textId="77777777" w:rsidR="00FB06F0" w:rsidRPr="00EB545C" w:rsidRDefault="004F253D">
      <w:pPr>
        <w:pStyle w:val="Prrafodelista"/>
        <w:numPr>
          <w:ilvl w:val="1"/>
          <w:numId w:val="2"/>
        </w:numPr>
        <w:tabs>
          <w:tab w:val="left" w:pos="1200"/>
        </w:tabs>
        <w:spacing w:line="314" w:lineRule="auto"/>
        <w:ind w:right="30"/>
        <w:jc w:val="both"/>
        <w:rPr>
          <w:sz w:val="20"/>
        </w:rPr>
      </w:pPr>
      <w:r w:rsidRPr="00EB545C">
        <w:rPr>
          <w:sz w:val="20"/>
        </w:rPr>
        <w:t>If the project is approved, notification and formalisation of the grant award decisions.</w:t>
      </w:r>
    </w:p>
    <w:p w14:paraId="1B0D681C" w14:textId="77777777" w:rsidR="00FB06F0" w:rsidRPr="00EB545C" w:rsidRDefault="004F253D">
      <w:pPr>
        <w:pStyle w:val="Ttulo3"/>
        <w:numPr>
          <w:ilvl w:val="0"/>
          <w:numId w:val="5"/>
        </w:numPr>
        <w:tabs>
          <w:tab w:val="left" w:pos="500"/>
        </w:tabs>
        <w:ind w:left="500" w:hanging="303"/>
        <w:rPr>
          <w:b w:val="0"/>
          <w:color w:val="00125C"/>
        </w:rPr>
      </w:pPr>
      <w:r w:rsidRPr="00EB545C">
        <w:rPr>
          <w:b w:val="0"/>
          <w:color w:val="00125C"/>
        </w:rPr>
        <w:t>Criteria for the assessment and pre-selection of projects</w:t>
      </w:r>
    </w:p>
    <w:p w14:paraId="6C5FC2DA" w14:textId="77777777" w:rsidR="00FB06F0" w:rsidRPr="00EB545C" w:rsidRDefault="004F253D">
      <w:pPr>
        <w:pStyle w:val="Textoindependiente"/>
        <w:spacing w:before="111" w:line="288" w:lineRule="auto"/>
        <w:ind w:left="490" w:right="31" w:hanging="10"/>
        <w:jc w:val="both"/>
      </w:pPr>
      <w:r w:rsidRPr="00EB545C">
        <w:t xml:space="preserve">A Proposal </w:t>
      </w:r>
      <w:r w:rsidRPr="00EB545C">
        <w:rPr>
          <w:rFonts w:ascii="Arial Black" w:hAnsi="Arial Black"/>
        </w:rPr>
        <w:t xml:space="preserve">Evaluation Committee </w:t>
      </w:r>
      <w:r w:rsidRPr="00EB545C">
        <w:t>will be established which will evaluate proposals according to the following criteria.</w:t>
      </w:r>
    </w:p>
    <w:p w14:paraId="30C30661" w14:textId="77777777" w:rsidR="00FB06F0" w:rsidRPr="00EB545C" w:rsidRDefault="004F253D">
      <w:pPr>
        <w:pStyle w:val="Textoindependiente"/>
        <w:spacing w:before="153"/>
        <w:ind w:left="466"/>
        <w:jc w:val="both"/>
      </w:pPr>
      <w:r w:rsidRPr="00EB545C">
        <w:t>The following criteria will be taken into account for the pre-selection of projects:</w:t>
      </w:r>
    </w:p>
    <w:p w14:paraId="44D88158" w14:textId="77777777" w:rsidR="00FB06F0" w:rsidRPr="00EB545C" w:rsidRDefault="004F253D">
      <w:pPr>
        <w:pStyle w:val="Prrafodelista"/>
        <w:numPr>
          <w:ilvl w:val="0"/>
          <w:numId w:val="1"/>
        </w:numPr>
        <w:tabs>
          <w:tab w:val="left" w:pos="1198"/>
          <w:tab w:val="left" w:pos="1200"/>
        </w:tabs>
        <w:spacing w:before="169" w:line="304" w:lineRule="auto"/>
        <w:ind w:right="22"/>
        <w:jc w:val="both"/>
        <w:rPr>
          <w:sz w:val="20"/>
        </w:rPr>
      </w:pPr>
      <w:r w:rsidRPr="00EB545C">
        <w:rPr>
          <w:sz w:val="20"/>
        </w:rPr>
        <w:t xml:space="preserve">Assessment of the </w:t>
      </w:r>
      <w:r w:rsidRPr="00EB545C">
        <w:rPr>
          <w:rFonts w:ascii="Arial Black" w:hAnsi="Arial Black"/>
          <w:sz w:val="20"/>
        </w:rPr>
        <w:t xml:space="preserve">applicant organisations: </w:t>
      </w:r>
      <w:r w:rsidRPr="00EB545C">
        <w:rPr>
          <w:sz w:val="20"/>
        </w:rPr>
        <w:t xml:space="preserve">experience in the subject area of the call, project management capacity, financial and administrative management capacity </w:t>
      </w:r>
      <w:r w:rsidRPr="00EB545C">
        <w:rPr>
          <w:sz w:val="20"/>
          <w:u w:val="single"/>
        </w:rPr>
        <w:t>(40 out of 100 points</w:t>
      </w:r>
      <w:r w:rsidRPr="00EB545C">
        <w:rPr>
          <w:sz w:val="20"/>
        </w:rPr>
        <w:t>).</w:t>
      </w:r>
    </w:p>
    <w:p w14:paraId="40E6D919" w14:textId="77777777" w:rsidR="00FB06F0" w:rsidRPr="00EB545C" w:rsidRDefault="004F253D">
      <w:pPr>
        <w:pStyle w:val="Prrafodelista"/>
        <w:numPr>
          <w:ilvl w:val="0"/>
          <w:numId w:val="1"/>
        </w:numPr>
        <w:tabs>
          <w:tab w:val="left" w:pos="1198"/>
        </w:tabs>
        <w:spacing w:line="266" w:lineRule="exact"/>
        <w:ind w:left="1198" w:hanging="358"/>
        <w:jc w:val="both"/>
        <w:rPr>
          <w:sz w:val="20"/>
        </w:rPr>
      </w:pPr>
      <w:r w:rsidRPr="00EB545C">
        <w:rPr>
          <w:sz w:val="20"/>
        </w:rPr>
        <w:t xml:space="preserve">Technical assessment of </w:t>
      </w:r>
      <w:r w:rsidRPr="00EB545C">
        <w:rPr>
          <w:rFonts w:ascii="Arial Black" w:hAnsi="Arial Black"/>
          <w:sz w:val="20"/>
        </w:rPr>
        <w:t xml:space="preserve">projects (pre-identification sheets): </w:t>
      </w:r>
      <w:r w:rsidRPr="00EB545C">
        <w:rPr>
          <w:sz w:val="20"/>
        </w:rPr>
        <w:t>Fitness for purpose</w:t>
      </w:r>
    </w:p>
    <w:p w14:paraId="73235C89" w14:textId="4D523FF2" w:rsidR="00FB06F0" w:rsidRPr="00EB545C" w:rsidRDefault="004F253D">
      <w:pPr>
        <w:pStyle w:val="Textoindependiente"/>
        <w:spacing w:before="57" w:line="319" w:lineRule="auto"/>
        <w:ind w:left="1200" w:right="22"/>
        <w:jc w:val="both"/>
      </w:pPr>
      <w:r w:rsidRPr="00EB545C">
        <w:t>and priorities, relevance and scope of the issues and solution proposed, expected impact on indicators, involvement of actors, incorporation of gender and human rights approaches</w:t>
      </w:r>
      <w:r w:rsidR="009064DF">
        <w:t xml:space="preserve"> </w:t>
      </w:r>
      <w:r w:rsidRPr="00EB545C">
        <w:rPr>
          <w:u w:val="single"/>
        </w:rPr>
        <w:t>(60 points out of 100</w:t>
      </w:r>
      <w:r w:rsidRPr="00EB545C">
        <w:t>).</w:t>
      </w:r>
    </w:p>
    <w:p w14:paraId="2EA1E669" w14:textId="77777777" w:rsidR="00FB06F0" w:rsidRPr="00EB545C" w:rsidRDefault="004F253D">
      <w:pPr>
        <w:pStyle w:val="Textoindependiente"/>
        <w:spacing w:before="121"/>
        <w:ind w:left="480"/>
        <w:jc w:val="both"/>
      </w:pPr>
      <w:r w:rsidRPr="00EB545C">
        <w:t>Proposals must have a minimum of 20 points for criterion 1 and 40 points for criterion 2.</w:t>
      </w:r>
    </w:p>
    <w:p w14:paraId="063606AE" w14:textId="39BB9F05" w:rsidR="00FB06F0" w:rsidRPr="00EB545C" w:rsidRDefault="004F253D" w:rsidP="00FC414A">
      <w:pPr>
        <w:pStyle w:val="Textoindependiente"/>
        <w:spacing w:before="197" w:line="319" w:lineRule="auto"/>
        <w:ind w:left="480" w:right="22"/>
        <w:jc w:val="both"/>
      </w:pPr>
      <w:r w:rsidRPr="00EB545C">
        <w:t>Eligible proposals will be ranked by score and by country/forest and will proceed to the formulation phase according to budget availability; the Evaluation Committee may make an assessment of thematic and geographical equity per window (a and b) in order to maintain a balance in the selection of projects. Projects not selected in the first instance may be considered in the reserve quota and listed in order of score.</w:t>
      </w:r>
    </w:p>
    <w:p w14:paraId="7A8BD59C" w14:textId="77777777" w:rsidR="00FB06F0" w:rsidRPr="00EB545C" w:rsidRDefault="00FB06F0" w:rsidP="00FC414A">
      <w:pPr>
        <w:pStyle w:val="Textoindependiente"/>
        <w:sectPr w:rsidR="00FB06F0" w:rsidRPr="00EB545C">
          <w:pgSz w:w="12240" w:h="15840"/>
          <w:pgMar w:top="1340" w:right="1440" w:bottom="280" w:left="1080" w:header="720" w:footer="720" w:gutter="0"/>
          <w:cols w:space="720"/>
        </w:sectPr>
      </w:pPr>
    </w:p>
    <w:p w14:paraId="618EAC25" w14:textId="7A9FD2B6" w:rsidR="00FB06F0" w:rsidRPr="00EB545C" w:rsidRDefault="004F253D">
      <w:pPr>
        <w:pStyle w:val="Ttulo3"/>
        <w:numPr>
          <w:ilvl w:val="0"/>
          <w:numId w:val="5"/>
        </w:numPr>
        <w:tabs>
          <w:tab w:val="left" w:pos="500"/>
        </w:tabs>
        <w:spacing w:before="68"/>
        <w:ind w:left="500" w:hanging="303"/>
        <w:rPr>
          <w:b w:val="0"/>
          <w:color w:val="00125C"/>
        </w:rPr>
      </w:pPr>
      <w:r w:rsidRPr="00EB545C">
        <w:rPr>
          <w:b w:val="0"/>
          <w:color w:val="00125C"/>
        </w:rPr>
        <w:lastRenderedPageBreak/>
        <w:t>Submission of proposals</w:t>
      </w:r>
    </w:p>
    <w:p w14:paraId="396EE5A1" w14:textId="77777777" w:rsidR="00FB06F0" w:rsidRPr="00EB545C" w:rsidRDefault="004F253D">
      <w:pPr>
        <w:pStyle w:val="Textoindependiente"/>
        <w:spacing w:before="137" w:line="304" w:lineRule="auto"/>
        <w:ind w:left="475" w:right="20" w:hanging="10"/>
        <w:jc w:val="both"/>
      </w:pPr>
      <w:r w:rsidRPr="00EB545C">
        <w:t xml:space="preserve">The documentation required to participate in the call is: a) pre-identification form; b) letters of endorsement, where applicable; and c) supporting documents. This documentation should be sent in PDF format to the e-mail address: </w:t>
      </w:r>
      <w:hyperlink r:id="rId11">
        <w:r w:rsidRPr="00EB545C">
          <w:rPr>
            <w:color w:val="0000FF"/>
            <w:u w:val="single" w:color="0000FF"/>
          </w:rPr>
          <w:t>oce.costarica@aecid.es</w:t>
        </w:r>
      </w:hyperlink>
      <w:r w:rsidRPr="00EB545C">
        <w:rPr>
          <w:color w:val="0000FF"/>
        </w:rPr>
        <w:t xml:space="preserve"> </w:t>
      </w:r>
      <w:r w:rsidRPr="00EB545C">
        <w:t xml:space="preserve">until </w:t>
      </w:r>
      <w:r w:rsidRPr="00EB545C">
        <w:rPr>
          <w:rFonts w:ascii="Arial Black" w:hAnsi="Arial Black"/>
        </w:rPr>
        <w:t>27 February 2026</w:t>
      </w:r>
      <w:r w:rsidRPr="00EB545C">
        <w:t>,</w:t>
      </w:r>
    </w:p>
    <w:p w14:paraId="6E6C1153" w14:textId="77777777" w:rsidR="00FB06F0" w:rsidRPr="00EB545C" w:rsidRDefault="004F253D">
      <w:pPr>
        <w:pStyle w:val="Ttulo5"/>
        <w:spacing w:before="0" w:line="240" w:lineRule="exact"/>
        <w:ind w:left="475"/>
        <w:rPr>
          <w:rFonts w:ascii="Lucida Sans" w:hAnsi="Lucida Sans"/>
          <w:b w:val="0"/>
        </w:rPr>
      </w:pPr>
      <w:r w:rsidRPr="00EB545C">
        <w:rPr>
          <w:b w:val="0"/>
        </w:rPr>
        <w:t>before 23:59, San José, Costa Rica time</w:t>
      </w:r>
      <w:r w:rsidRPr="00EB545C">
        <w:rPr>
          <w:rFonts w:ascii="Lucida Sans" w:hAnsi="Lucida Sans"/>
          <w:b w:val="0"/>
        </w:rPr>
        <w:t>.</w:t>
      </w:r>
    </w:p>
    <w:p w14:paraId="42E19410" w14:textId="77777777" w:rsidR="00FB06F0" w:rsidRPr="00EB545C" w:rsidRDefault="004F253D">
      <w:pPr>
        <w:pStyle w:val="Textoindependiente"/>
        <w:spacing w:before="177" w:line="319" w:lineRule="auto"/>
        <w:ind w:left="475" w:right="21" w:hanging="10"/>
        <w:jc w:val="both"/>
      </w:pPr>
      <w:r w:rsidRPr="00EB545C">
        <w:t>The AECID will notify the applicant organisations of the receipt of this documentation within 3 working days. Notification of receipt shall only mean that the application has been received, and shall not be construed as that the proposal has been shortlisted.</w:t>
      </w:r>
    </w:p>
    <w:p w14:paraId="62FA0DD7" w14:textId="77777777" w:rsidR="00FB06F0" w:rsidRPr="00EB545C" w:rsidRDefault="004F253D">
      <w:pPr>
        <w:pStyle w:val="Textoindependiente"/>
        <w:spacing w:before="121" w:line="319" w:lineRule="auto"/>
        <w:ind w:left="475" w:right="33" w:hanging="10"/>
        <w:jc w:val="both"/>
      </w:pPr>
      <w:r w:rsidRPr="00EB545C">
        <w:t>Applications sent by any other means than the one specified or delivered to other mailing addresses or later than the specified date and time will not be considered.</w:t>
      </w:r>
    </w:p>
    <w:p w14:paraId="2DF1DDC1" w14:textId="77777777" w:rsidR="00FB06F0" w:rsidRPr="00EB545C" w:rsidRDefault="004F253D">
      <w:pPr>
        <w:pStyle w:val="Ttulo5"/>
        <w:rPr>
          <w:b w:val="0"/>
        </w:rPr>
      </w:pPr>
      <w:r w:rsidRPr="00EB545C">
        <w:rPr>
          <w:b w:val="0"/>
        </w:rPr>
        <w:t>General considerations:</w:t>
      </w:r>
    </w:p>
    <w:p w14:paraId="32D4F720" w14:textId="77777777" w:rsidR="00FB06F0" w:rsidRPr="00EB545C" w:rsidRDefault="004F253D">
      <w:pPr>
        <w:pStyle w:val="Textoindependiente"/>
        <w:spacing w:before="177" w:line="319" w:lineRule="auto"/>
        <w:ind w:left="475" w:right="31" w:hanging="10"/>
        <w:jc w:val="both"/>
      </w:pPr>
      <w:r w:rsidRPr="00EB545C">
        <w:t>The information provided in the project proposals submitted in response to this call will be treated as confidential.</w:t>
      </w:r>
    </w:p>
    <w:p w14:paraId="2F196170" w14:textId="77777777" w:rsidR="00FB06F0" w:rsidRPr="00EB545C" w:rsidRDefault="004F253D">
      <w:pPr>
        <w:pStyle w:val="Textoindependiente"/>
        <w:spacing w:before="119" w:line="319" w:lineRule="auto"/>
        <w:ind w:left="475" w:right="34" w:hanging="10"/>
        <w:jc w:val="both"/>
      </w:pPr>
      <w:r w:rsidRPr="00EB545C">
        <w:t>The AECID reserves the right not to award all available funds in the event that the proposals received do not meet the established eligibility criteria.</w:t>
      </w:r>
    </w:p>
    <w:p w14:paraId="7BBBE538" w14:textId="77777777" w:rsidR="00FB06F0" w:rsidRPr="00EB545C" w:rsidRDefault="00FB06F0">
      <w:pPr>
        <w:pStyle w:val="Textoindependiente"/>
        <w:spacing w:before="199"/>
      </w:pPr>
    </w:p>
    <w:p w14:paraId="725585E2" w14:textId="77777777" w:rsidR="00FB06F0" w:rsidRPr="00EB545C" w:rsidRDefault="004F253D">
      <w:pPr>
        <w:pStyle w:val="Ttulo3"/>
        <w:numPr>
          <w:ilvl w:val="0"/>
          <w:numId w:val="5"/>
        </w:numPr>
        <w:tabs>
          <w:tab w:val="left" w:pos="500"/>
        </w:tabs>
        <w:spacing w:before="1"/>
        <w:ind w:left="500" w:hanging="303"/>
        <w:rPr>
          <w:b w:val="0"/>
          <w:color w:val="00125C"/>
        </w:rPr>
      </w:pPr>
      <w:r w:rsidRPr="00EB545C">
        <w:rPr>
          <w:b w:val="0"/>
          <w:color w:val="00125C"/>
        </w:rPr>
        <w:t>ANNEXES</w:t>
      </w:r>
    </w:p>
    <w:p w14:paraId="55FE28B6" w14:textId="77777777" w:rsidR="00FB06F0" w:rsidRPr="00EB545C" w:rsidRDefault="004F253D">
      <w:pPr>
        <w:pStyle w:val="Textoindependiente"/>
        <w:spacing w:before="138"/>
        <w:ind w:left="480"/>
        <w:jc w:val="both"/>
      </w:pPr>
      <w:r w:rsidRPr="00EB545C">
        <w:t>Annex 1: Pre-identification form</w:t>
      </w:r>
    </w:p>
    <w:p w14:paraId="126CA077" w14:textId="77777777" w:rsidR="00FB06F0" w:rsidRPr="00EB545C" w:rsidRDefault="00FB06F0">
      <w:pPr>
        <w:pStyle w:val="Textoindependiente"/>
      </w:pPr>
    </w:p>
    <w:p w14:paraId="26022074" w14:textId="64AB9822" w:rsidR="00FB06F0" w:rsidRPr="00EB545C" w:rsidRDefault="00FB06F0">
      <w:pPr>
        <w:pStyle w:val="Textoindependiente"/>
        <w:spacing w:before="1"/>
        <w:ind w:left="448"/>
        <w:jc w:val="center"/>
      </w:pPr>
    </w:p>
    <w:sectPr w:rsidR="00FB06F0" w:rsidRPr="00EB545C">
      <w:pgSz w:w="12240" w:h="15840"/>
      <w:pgMar w:top="1340" w:right="14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ED66" w14:textId="77777777" w:rsidR="00E35376" w:rsidRDefault="00E35376" w:rsidP="007F0102">
      <w:r>
        <w:separator/>
      </w:r>
    </w:p>
  </w:endnote>
  <w:endnote w:type="continuationSeparator" w:id="0">
    <w:p w14:paraId="3563BC74" w14:textId="77777777" w:rsidR="00E35376" w:rsidRDefault="00E35376" w:rsidP="007F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39F3" w14:textId="64D05763" w:rsidR="007F0102" w:rsidRDefault="007F0102">
    <w:pPr>
      <w:pStyle w:val="Piedepgina"/>
    </w:pPr>
    <w:r>
      <w:rPr>
        <w:noProof/>
      </w:rPr>
      <w:drawing>
        <wp:inline distT="0" distB="0" distL="0" distR="0" wp14:anchorId="2BE048B8" wp14:editId="74D2A2B0">
          <wp:extent cx="1733385" cy="415348"/>
          <wp:effectExtent l="0" t="0" r="635" b="3810"/>
          <wp:docPr id="123986991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80340" name="Imagen 1" descr="Texto&#10;&#10;El contenido generado por IA puede ser incorrecto."/>
                  <pic:cNvPicPr/>
                </pic:nvPicPr>
                <pic:blipFill>
                  <a:blip r:embed="rId1"/>
                  <a:stretch>
                    <a:fillRect/>
                  </a:stretch>
                </pic:blipFill>
                <pic:spPr>
                  <a:xfrm>
                    <a:off x="0" y="0"/>
                    <a:ext cx="1740377" cy="417023"/>
                  </a:xfrm>
                  <a:prstGeom prst="rect">
                    <a:avLst/>
                  </a:prstGeom>
                </pic:spPr>
              </pic:pic>
            </a:graphicData>
          </a:graphic>
        </wp:inline>
      </w:drawing>
    </w:r>
    <w:r w:rsidR="003A44AF">
      <w:t xml:space="preserve"> </w:t>
    </w:r>
    <w:r w:rsidR="003A44AF">
      <w:tab/>
    </w:r>
    <w:r w:rsidR="003A44AF">
      <w:tab/>
    </w:r>
    <w:r w:rsidR="003A44AF">
      <w:fldChar w:fldCharType="begin"/>
    </w:r>
    <w:r w:rsidR="003A44AF">
      <w:instrText>PAGE   \* MERGEFORMAT</w:instrText>
    </w:r>
    <w:r w:rsidR="003A44AF">
      <w:fldChar w:fldCharType="separate"/>
    </w:r>
    <w:r w:rsidR="003A44AF">
      <w:rPr>
        <w:lang w:val="es-ES"/>
      </w:rPr>
      <w:t>1</w:t>
    </w:r>
    <w:r w:rsidR="003A44A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C235" w14:textId="77777777" w:rsidR="00E35376" w:rsidRDefault="00E35376" w:rsidP="007F0102">
      <w:r>
        <w:separator/>
      </w:r>
    </w:p>
  </w:footnote>
  <w:footnote w:type="continuationSeparator" w:id="0">
    <w:p w14:paraId="6CC314BC" w14:textId="77777777" w:rsidR="00E35376" w:rsidRDefault="00E35376" w:rsidP="007F0102">
      <w:r>
        <w:continuationSeparator/>
      </w:r>
    </w:p>
  </w:footnote>
  <w:footnote w:id="1">
    <w:p w14:paraId="49960D06" w14:textId="7ABE3D82" w:rsidR="007F0102" w:rsidRPr="009064DF" w:rsidRDefault="007F0102" w:rsidP="007F0102">
      <w:pPr>
        <w:pStyle w:val="Textonotapie"/>
        <w:tabs>
          <w:tab w:val="center" w:pos="4860"/>
        </w:tabs>
        <w:rPr>
          <w:sz w:val="16"/>
          <w:szCs w:val="16"/>
          <w:lang w:val="en-US"/>
        </w:rPr>
      </w:pPr>
      <w:r w:rsidRPr="00FC414A">
        <w:rPr>
          <w:rStyle w:val="Refdenotaalpie"/>
          <w:sz w:val="16"/>
          <w:szCs w:val="16"/>
        </w:rPr>
        <w:footnoteRef/>
      </w:r>
      <w:r w:rsidRPr="00FC414A">
        <w:rPr>
          <w:sz w:val="16"/>
          <w:szCs w:val="16"/>
        </w:rPr>
        <w:t xml:space="preserve"> Spanish laws and regulations</w:t>
      </w:r>
      <w:r w:rsidRPr="00FC414A">
        <w:rPr>
          <w:sz w:val="16"/>
          <w:szCs w:val="16"/>
        </w:rPr>
        <w:tab/>
      </w:r>
    </w:p>
  </w:footnote>
  <w:footnote w:id="2">
    <w:p w14:paraId="0B021EBE" w14:textId="1D4CA095" w:rsidR="003A44AF" w:rsidRPr="009064DF" w:rsidRDefault="003A44AF">
      <w:pPr>
        <w:pStyle w:val="Textonotapie"/>
        <w:rPr>
          <w:rFonts w:asciiTheme="minorHAnsi" w:hAnsiTheme="minorHAnsi" w:cstheme="minorHAnsi"/>
          <w:lang w:val="en-US"/>
        </w:rPr>
      </w:pPr>
      <w:r w:rsidRPr="00FC414A">
        <w:rPr>
          <w:rStyle w:val="Refdenotaalpie"/>
          <w:rFonts w:cstheme="minorHAnsi"/>
          <w:sz w:val="16"/>
          <w:szCs w:val="16"/>
        </w:rPr>
        <w:footnoteRef/>
      </w:r>
      <w:r w:rsidRPr="00FC414A">
        <w:rPr>
          <w:rFonts w:cstheme="minorHAnsi"/>
          <w:sz w:val="16"/>
          <w:szCs w:val="16"/>
        </w:rPr>
        <w:t xml:space="preserve"> </w:t>
      </w:r>
      <w:r w:rsidRPr="009064DF">
        <w:rPr>
          <w:rFonts w:cstheme="minorHAnsi"/>
          <w:sz w:val="16"/>
          <w:szCs w:val="16"/>
          <w:lang w:val="en-US"/>
        </w:rPr>
        <w:t>Idem</w:t>
      </w:r>
    </w:p>
  </w:footnote>
  <w:footnote w:id="3">
    <w:p w14:paraId="6733A69A" w14:textId="5EC049F0" w:rsidR="003A44AF" w:rsidRPr="009064DF" w:rsidRDefault="003A44AF">
      <w:pPr>
        <w:pStyle w:val="Textonotapie"/>
        <w:rPr>
          <w:sz w:val="16"/>
          <w:szCs w:val="16"/>
          <w:lang w:val="en-US"/>
        </w:rPr>
      </w:pPr>
      <w:r w:rsidRPr="00FC414A">
        <w:rPr>
          <w:rStyle w:val="Refdenotaalpie"/>
          <w:sz w:val="16"/>
          <w:szCs w:val="16"/>
        </w:rPr>
        <w:footnoteRef/>
      </w:r>
      <w:r w:rsidRPr="00FC414A">
        <w:rPr>
          <w:sz w:val="16"/>
          <w:szCs w:val="16"/>
        </w:rPr>
        <w:t xml:space="preserve"> Projects with actions in the Maya Forest in Guatemala will only be considered with a cross-border approach.</w:t>
      </w:r>
    </w:p>
  </w:footnote>
  <w:footnote w:id="4">
    <w:p w14:paraId="3D2119A4" w14:textId="0E777139" w:rsidR="00FC414A" w:rsidRPr="009064DF" w:rsidRDefault="00FC414A">
      <w:pPr>
        <w:pStyle w:val="Textonotapie"/>
        <w:rPr>
          <w:sz w:val="16"/>
          <w:szCs w:val="16"/>
          <w:lang w:val="en-US"/>
        </w:rPr>
      </w:pPr>
      <w:r w:rsidRPr="00FC414A">
        <w:rPr>
          <w:rStyle w:val="Refdenotaalpie"/>
          <w:sz w:val="16"/>
          <w:szCs w:val="16"/>
        </w:rPr>
        <w:footnoteRef/>
      </w:r>
      <w:r w:rsidRPr="00FC414A">
        <w:rPr>
          <w:sz w:val="16"/>
          <w:szCs w:val="16"/>
        </w:rPr>
        <w:t xml:space="preserve"> </w:t>
      </w:r>
      <w:r w:rsidRPr="009064DF">
        <w:rPr>
          <w:sz w:val="16"/>
          <w:szCs w:val="16"/>
          <w:lang w:val="en-US"/>
        </w:rPr>
        <w:t>I</w:t>
      </w:r>
      <w:proofErr w:type="spellStart"/>
      <w:r w:rsidRPr="00FC414A">
        <w:rPr>
          <w:sz w:val="16"/>
          <w:szCs w:val="16"/>
        </w:rPr>
        <w:t>temised</w:t>
      </w:r>
      <w:proofErr w:type="spellEnd"/>
      <w:r w:rsidRPr="00FC414A">
        <w:rPr>
          <w:sz w:val="16"/>
          <w:szCs w:val="16"/>
        </w:rPr>
        <w:t xml:space="preserve"> by gender and ethnicity</w:t>
      </w:r>
    </w:p>
  </w:footnote>
  <w:footnote w:id="5">
    <w:p w14:paraId="0FE5FBE7" w14:textId="2543AD43" w:rsidR="00FC414A" w:rsidRPr="009064DF" w:rsidRDefault="00FC414A">
      <w:pPr>
        <w:pStyle w:val="Textonotapie"/>
        <w:rPr>
          <w:lang w:val="en-US"/>
        </w:rPr>
      </w:pPr>
      <w:r>
        <w:rPr>
          <w:rStyle w:val="Refdenotaalpie"/>
        </w:rPr>
        <w:footnoteRef/>
      </w:r>
      <w:r>
        <w:t xml:space="preserve"> </w:t>
      </w:r>
      <w:r w:rsidRPr="009064DF">
        <w:rPr>
          <w:sz w:val="16"/>
          <w:szCs w:val="16"/>
          <w:lang w:val="en-US"/>
        </w:rPr>
        <w:t>Idem</w:t>
      </w:r>
    </w:p>
  </w:footnote>
  <w:footnote w:id="6">
    <w:p w14:paraId="174C2AD9" w14:textId="77777777" w:rsidR="00FC414A" w:rsidRPr="00EB545C" w:rsidRDefault="00FC414A" w:rsidP="00FC414A">
      <w:pPr>
        <w:pStyle w:val="Textoindependiente"/>
        <w:spacing w:before="109" w:line="244" w:lineRule="exact"/>
        <w:ind w:left="480"/>
        <w:rPr>
          <w:rFonts w:ascii="Calibri"/>
        </w:rPr>
      </w:pPr>
      <w:r>
        <w:rPr>
          <w:rStyle w:val="Refdenotaalpie"/>
        </w:rPr>
        <w:footnoteRef/>
      </w:r>
      <w:r>
        <w:t xml:space="preserve"> </w:t>
      </w:r>
      <w:r w:rsidRPr="00EB545C">
        <w:rPr>
          <w:rFonts w:ascii="Calibri"/>
        </w:rPr>
        <w:t>Mandatory documents to prove eligibility</w:t>
      </w:r>
    </w:p>
    <w:p w14:paraId="601491D5" w14:textId="77777777" w:rsidR="00FC414A" w:rsidRPr="00EB545C" w:rsidRDefault="00FC414A" w:rsidP="00FC414A">
      <w:pPr>
        <w:pStyle w:val="Prrafodelista"/>
        <w:numPr>
          <w:ilvl w:val="0"/>
          <w:numId w:val="2"/>
        </w:numPr>
        <w:tabs>
          <w:tab w:val="left" w:pos="698"/>
        </w:tabs>
        <w:spacing w:line="269" w:lineRule="exact"/>
        <w:ind w:hanging="218"/>
        <w:rPr>
          <w:rFonts w:ascii="Calibri" w:hAnsi="Calibri"/>
          <w:sz w:val="20"/>
        </w:rPr>
      </w:pPr>
      <w:r w:rsidRPr="00EB545C">
        <w:rPr>
          <w:rFonts w:ascii="Calibri" w:hAnsi="Calibri"/>
          <w:sz w:val="20"/>
        </w:rPr>
        <w:t>Document certifying the incorporation as legal persons of the applicant organisations</w:t>
      </w:r>
    </w:p>
    <w:p w14:paraId="102B91C4" w14:textId="77777777" w:rsidR="00FC414A" w:rsidRPr="00EB545C" w:rsidRDefault="00FC414A" w:rsidP="00FC414A">
      <w:pPr>
        <w:pStyle w:val="Prrafodelista"/>
        <w:numPr>
          <w:ilvl w:val="0"/>
          <w:numId w:val="2"/>
        </w:numPr>
        <w:tabs>
          <w:tab w:val="left" w:pos="698"/>
        </w:tabs>
        <w:spacing w:line="269" w:lineRule="exact"/>
        <w:ind w:hanging="218"/>
        <w:rPr>
          <w:rFonts w:ascii="Calibri" w:hAnsi="Calibri"/>
          <w:sz w:val="20"/>
        </w:rPr>
      </w:pPr>
      <w:r w:rsidRPr="00EB545C">
        <w:rPr>
          <w:rFonts w:ascii="Calibri" w:hAnsi="Calibri"/>
          <w:sz w:val="20"/>
        </w:rPr>
        <w:t>Document accrediting the legal representative of the main applicant organisation</w:t>
      </w:r>
    </w:p>
    <w:p w14:paraId="7283C991" w14:textId="77777777" w:rsidR="00FC414A" w:rsidRPr="00EB545C" w:rsidRDefault="00FC414A" w:rsidP="00FC414A">
      <w:pPr>
        <w:pStyle w:val="Prrafodelista"/>
        <w:numPr>
          <w:ilvl w:val="0"/>
          <w:numId w:val="2"/>
        </w:numPr>
        <w:tabs>
          <w:tab w:val="left" w:pos="698"/>
        </w:tabs>
        <w:spacing w:line="269" w:lineRule="exact"/>
        <w:ind w:hanging="218"/>
        <w:rPr>
          <w:rFonts w:ascii="Calibri" w:hAnsi="Calibri"/>
          <w:sz w:val="20"/>
        </w:rPr>
      </w:pPr>
      <w:r w:rsidRPr="00EB545C">
        <w:rPr>
          <w:rFonts w:ascii="Calibri" w:hAnsi="Calibri"/>
          <w:sz w:val="20"/>
        </w:rPr>
        <w:t>Latest available audit of the applicant entity</w:t>
      </w:r>
    </w:p>
    <w:p w14:paraId="44D8B6D0" w14:textId="77777777" w:rsidR="00FC414A" w:rsidRPr="00EB545C" w:rsidRDefault="00FC414A" w:rsidP="00FC414A">
      <w:pPr>
        <w:pStyle w:val="Prrafodelista"/>
        <w:numPr>
          <w:ilvl w:val="0"/>
          <w:numId w:val="2"/>
        </w:numPr>
        <w:tabs>
          <w:tab w:val="left" w:pos="698"/>
        </w:tabs>
        <w:spacing w:before="2"/>
        <w:ind w:hanging="218"/>
        <w:rPr>
          <w:rFonts w:ascii="Calibri" w:hAnsi="Calibri"/>
          <w:sz w:val="20"/>
        </w:rPr>
      </w:pPr>
      <w:r w:rsidRPr="00EB545C">
        <w:rPr>
          <w:rFonts w:ascii="Calibri" w:hAnsi="Calibri"/>
          <w:sz w:val="20"/>
        </w:rPr>
        <w:t>Table of projects implemented in the last 3 years, with amounts, duration and funding bodies</w:t>
      </w:r>
    </w:p>
    <w:p w14:paraId="48EA1C35" w14:textId="77777777" w:rsidR="00FC414A" w:rsidRPr="00EB545C" w:rsidRDefault="00FC414A" w:rsidP="00FC414A">
      <w:pPr>
        <w:pStyle w:val="Textoindependiente"/>
        <w:spacing w:before="119"/>
        <w:rPr>
          <w:rFonts w:ascii="Calibri"/>
        </w:rPr>
      </w:pPr>
    </w:p>
    <w:p w14:paraId="175ABB72" w14:textId="58490481" w:rsidR="00FC414A" w:rsidRPr="009064DF" w:rsidRDefault="00FC414A">
      <w:pPr>
        <w:pStyle w:val="Textonotapi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56C4" w14:textId="52CF2F40" w:rsidR="007F0102" w:rsidRDefault="007F0102" w:rsidP="00FC414A">
    <w:pPr>
      <w:pStyle w:val="Encabezado"/>
      <w:ind w:left="-567" w:hanging="142"/>
    </w:pPr>
    <w:r>
      <w:rPr>
        <w:noProof/>
      </w:rPr>
      <w:drawing>
        <wp:inline distT="0" distB="0" distL="0" distR="0" wp14:anchorId="71549CF6" wp14:editId="7F0F27B6">
          <wp:extent cx="7304808" cy="644055"/>
          <wp:effectExtent l="0" t="0" r="0" b="3810"/>
          <wp:docPr id="2764075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45129" name=""/>
                  <pic:cNvPicPr/>
                </pic:nvPicPr>
                <pic:blipFill>
                  <a:blip r:embed="rId1"/>
                  <a:stretch>
                    <a:fillRect/>
                  </a:stretch>
                </pic:blipFill>
                <pic:spPr>
                  <a:xfrm>
                    <a:off x="0" y="0"/>
                    <a:ext cx="7304808" cy="644055"/>
                  </a:xfrm>
                  <a:prstGeom prst="rect">
                    <a:avLst/>
                  </a:prstGeom>
                </pic:spPr>
              </pic:pic>
            </a:graphicData>
          </a:graphic>
        </wp:inline>
      </w:drawing>
    </w:r>
  </w:p>
  <w:p w14:paraId="7D8E2F4E" w14:textId="5E8D7518" w:rsidR="007F0102" w:rsidRDefault="007F01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09D5"/>
    <w:multiLevelType w:val="hybridMultilevel"/>
    <w:tmpl w:val="B9707D68"/>
    <w:lvl w:ilvl="0" w:tplc="87764C20">
      <w:numFmt w:val="bullet"/>
      <w:lvlText w:val="☐"/>
      <w:lvlJc w:val="left"/>
      <w:pPr>
        <w:ind w:left="698" w:hanging="219"/>
      </w:pPr>
      <w:rPr>
        <w:rFonts w:ascii="Segoe UI Symbol" w:eastAsia="Segoe UI Symbol" w:hAnsi="Segoe UI Symbol" w:cs="Segoe UI Symbol" w:hint="default"/>
        <w:b w:val="0"/>
        <w:bCs w:val="0"/>
        <w:i w:val="0"/>
        <w:iCs w:val="0"/>
        <w:spacing w:val="0"/>
        <w:w w:val="99"/>
        <w:sz w:val="20"/>
        <w:szCs w:val="20"/>
        <w:lang w:val="es-ES" w:eastAsia="en-US" w:bidi="ar-SA"/>
      </w:rPr>
    </w:lvl>
    <w:lvl w:ilvl="1" w:tplc="E2520B5A">
      <w:numFmt w:val="bullet"/>
      <w:lvlText w:val="-"/>
      <w:lvlJc w:val="left"/>
      <w:pPr>
        <w:ind w:left="1200" w:hanging="360"/>
      </w:pPr>
      <w:rPr>
        <w:rFonts w:ascii="Century Gothic" w:eastAsia="Century Gothic" w:hAnsi="Century Gothic" w:cs="Century Gothic" w:hint="default"/>
        <w:b w:val="0"/>
        <w:bCs w:val="0"/>
        <w:i w:val="0"/>
        <w:iCs w:val="0"/>
        <w:spacing w:val="0"/>
        <w:w w:val="102"/>
        <w:sz w:val="20"/>
        <w:szCs w:val="20"/>
        <w:lang w:val="es-ES" w:eastAsia="en-US" w:bidi="ar-SA"/>
      </w:rPr>
    </w:lvl>
    <w:lvl w:ilvl="2" w:tplc="E73A5AD0">
      <w:numFmt w:val="bullet"/>
      <w:lvlText w:val="•"/>
      <w:lvlJc w:val="left"/>
      <w:pPr>
        <w:ind w:left="2146" w:hanging="360"/>
      </w:pPr>
      <w:rPr>
        <w:rFonts w:hint="default"/>
        <w:lang w:val="es-ES" w:eastAsia="en-US" w:bidi="ar-SA"/>
      </w:rPr>
    </w:lvl>
    <w:lvl w:ilvl="3" w:tplc="5D166BFA">
      <w:numFmt w:val="bullet"/>
      <w:lvlText w:val="•"/>
      <w:lvlJc w:val="left"/>
      <w:pPr>
        <w:ind w:left="3093" w:hanging="360"/>
      </w:pPr>
      <w:rPr>
        <w:rFonts w:hint="default"/>
        <w:lang w:val="es-ES" w:eastAsia="en-US" w:bidi="ar-SA"/>
      </w:rPr>
    </w:lvl>
    <w:lvl w:ilvl="4" w:tplc="D6446618">
      <w:numFmt w:val="bullet"/>
      <w:lvlText w:val="•"/>
      <w:lvlJc w:val="left"/>
      <w:pPr>
        <w:ind w:left="4040" w:hanging="360"/>
      </w:pPr>
      <w:rPr>
        <w:rFonts w:hint="default"/>
        <w:lang w:val="es-ES" w:eastAsia="en-US" w:bidi="ar-SA"/>
      </w:rPr>
    </w:lvl>
    <w:lvl w:ilvl="5" w:tplc="424A7220">
      <w:numFmt w:val="bullet"/>
      <w:lvlText w:val="•"/>
      <w:lvlJc w:val="left"/>
      <w:pPr>
        <w:ind w:left="4986" w:hanging="360"/>
      </w:pPr>
      <w:rPr>
        <w:rFonts w:hint="default"/>
        <w:lang w:val="es-ES" w:eastAsia="en-US" w:bidi="ar-SA"/>
      </w:rPr>
    </w:lvl>
    <w:lvl w:ilvl="6" w:tplc="B1EE8A92">
      <w:numFmt w:val="bullet"/>
      <w:lvlText w:val="•"/>
      <w:lvlJc w:val="left"/>
      <w:pPr>
        <w:ind w:left="5933" w:hanging="360"/>
      </w:pPr>
      <w:rPr>
        <w:rFonts w:hint="default"/>
        <w:lang w:val="es-ES" w:eastAsia="en-US" w:bidi="ar-SA"/>
      </w:rPr>
    </w:lvl>
    <w:lvl w:ilvl="7" w:tplc="8410CF72">
      <w:numFmt w:val="bullet"/>
      <w:lvlText w:val="•"/>
      <w:lvlJc w:val="left"/>
      <w:pPr>
        <w:ind w:left="6880" w:hanging="360"/>
      </w:pPr>
      <w:rPr>
        <w:rFonts w:hint="default"/>
        <w:lang w:val="es-ES" w:eastAsia="en-US" w:bidi="ar-SA"/>
      </w:rPr>
    </w:lvl>
    <w:lvl w:ilvl="8" w:tplc="C2AE092A">
      <w:numFmt w:val="bullet"/>
      <w:lvlText w:val="•"/>
      <w:lvlJc w:val="left"/>
      <w:pPr>
        <w:ind w:left="7826" w:hanging="360"/>
      </w:pPr>
      <w:rPr>
        <w:rFonts w:hint="default"/>
        <w:lang w:val="es-ES" w:eastAsia="en-US" w:bidi="ar-SA"/>
      </w:rPr>
    </w:lvl>
  </w:abstractNum>
  <w:abstractNum w:abstractNumId="1" w15:restartNumberingAfterBreak="0">
    <w:nsid w:val="26461827"/>
    <w:multiLevelType w:val="hybridMultilevel"/>
    <w:tmpl w:val="70EC87C6"/>
    <w:lvl w:ilvl="0" w:tplc="2388755E">
      <w:start w:val="1"/>
      <w:numFmt w:val="decimal"/>
      <w:lvlText w:val="%1."/>
      <w:lvlJc w:val="left"/>
      <w:pPr>
        <w:ind w:left="1200" w:hanging="360"/>
        <w:jc w:val="left"/>
      </w:pPr>
      <w:rPr>
        <w:rFonts w:ascii="Lucida Sans" w:eastAsia="Lucida Sans" w:hAnsi="Lucida Sans" w:cs="Lucida Sans" w:hint="default"/>
        <w:b w:val="0"/>
        <w:bCs w:val="0"/>
        <w:i w:val="0"/>
        <w:iCs w:val="0"/>
        <w:spacing w:val="0"/>
        <w:w w:val="85"/>
        <w:sz w:val="20"/>
        <w:szCs w:val="20"/>
        <w:lang w:val="es-ES" w:eastAsia="en-US" w:bidi="ar-SA"/>
      </w:rPr>
    </w:lvl>
    <w:lvl w:ilvl="1" w:tplc="0298D8DA">
      <w:numFmt w:val="bullet"/>
      <w:lvlText w:val="•"/>
      <w:lvlJc w:val="left"/>
      <w:pPr>
        <w:ind w:left="2052" w:hanging="360"/>
      </w:pPr>
      <w:rPr>
        <w:rFonts w:hint="default"/>
        <w:lang w:val="es-ES" w:eastAsia="en-US" w:bidi="ar-SA"/>
      </w:rPr>
    </w:lvl>
    <w:lvl w:ilvl="2" w:tplc="A6F8E928">
      <w:numFmt w:val="bullet"/>
      <w:lvlText w:val="•"/>
      <w:lvlJc w:val="left"/>
      <w:pPr>
        <w:ind w:left="2904" w:hanging="360"/>
      </w:pPr>
      <w:rPr>
        <w:rFonts w:hint="default"/>
        <w:lang w:val="es-ES" w:eastAsia="en-US" w:bidi="ar-SA"/>
      </w:rPr>
    </w:lvl>
    <w:lvl w:ilvl="3" w:tplc="4BA8FF0A">
      <w:numFmt w:val="bullet"/>
      <w:lvlText w:val="•"/>
      <w:lvlJc w:val="left"/>
      <w:pPr>
        <w:ind w:left="3756" w:hanging="360"/>
      </w:pPr>
      <w:rPr>
        <w:rFonts w:hint="default"/>
        <w:lang w:val="es-ES" w:eastAsia="en-US" w:bidi="ar-SA"/>
      </w:rPr>
    </w:lvl>
    <w:lvl w:ilvl="4" w:tplc="CB82E2FC">
      <w:numFmt w:val="bullet"/>
      <w:lvlText w:val="•"/>
      <w:lvlJc w:val="left"/>
      <w:pPr>
        <w:ind w:left="4608" w:hanging="360"/>
      </w:pPr>
      <w:rPr>
        <w:rFonts w:hint="default"/>
        <w:lang w:val="es-ES" w:eastAsia="en-US" w:bidi="ar-SA"/>
      </w:rPr>
    </w:lvl>
    <w:lvl w:ilvl="5" w:tplc="651E91F2">
      <w:numFmt w:val="bullet"/>
      <w:lvlText w:val="•"/>
      <w:lvlJc w:val="left"/>
      <w:pPr>
        <w:ind w:left="5460" w:hanging="360"/>
      </w:pPr>
      <w:rPr>
        <w:rFonts w:hint="default"/>
        <w:lang w:val="es-ES" w:eastAsia="en-US" w:bidi="ar-SA"/>
      </w:rPr>
    </w:lvl>
    <w:lvl w:ilvl="6" w:tplc="79262CCE">
      <w:numFmt w:val="bullet"/>
      <w:lvlText w:val="•"/>
      <w:lvlJc w:val="left"/>
      <w:pPr>
        <w:ind w:left="6312" w:hanging="360"/>
      </w:pPr>
      <w:rPr>
        <w:rFonts w:hint="default"/>
        <w:lang w:val="es-ES" w:eastAsia="en-US" w:bidi="ar-SA"/>
      </w:rPr>
    </w:lvl>
    <w:lvl w:ilvl="7" w:tplc="619E5D64">
      <w:numFmt w:val="bullet"/>
      <w:lvlText w:val="•"/>
      <w:lvlJc w:val="left"/>
      <w:pPr>
        <w:ind w:left="7164" w:hanging="360"/>
      </w:pPr>
      <w:rPr>
        <w:rFonts w:hint="default"/>
        <w:lang w:val="es-ES" w:eastAsia="en-US" w:bidi="ar-SA"/>
      </w:rPr>
    </w:lvl>
    <w:lvl w:ilvl="8" w:tplc="5C6E4634">
      <w:numFmt w:val="bullet"/>
      <w:lvlText w:val="•"/>
      <w:lvlJc w:val="left"/>
      <w:pPr>
        <w:ind w:left="8016" w:hanging="360"/>
      </w:pPr>
      <w:rPr>
        <w:rFonts w:hint="default"/>
        <w:lang w:val="es-ES" w:eastAsia="en-US" w:bidi="ar-SA"/>
      </w:rPr>
    </w:lvl>
  </w:abstractNum>
  <w:abstractNum w:abstractNumId="2" w15:restartNumberingAfterBreak="0">
    <w:nsid w:val="5A4B48D6"/>
    <w:multiLevelType w:val="hybridMultilevel"/>
    <w:tmpl w:val="01AEEEE2"/>
    <w:lvl w:ilvl="0" w:tplc="12EA1F20">
      <w:numFmt w:val="bullet"/>
      <w:lvlText w:val="-"/>
      <w:lvlJc w:val="left"/>
      <w:pPr>
        <w:ind w:left="907" w:hanging="360"/>
      </w:pPr>
      <w:rPr>
        <w:rFonts w:ascii="Lucida Sans" w:eastAsia="Lucida Sans" w:hAnsi="Lucida Sans" w:cs="Lucida Sans" w:hint="default"/>
        <w:b w:val="0"/>
        <w:bCs w:val="0"/>
        <w:i w:val="0"/>
        <w:iCs w:val="0"/>
        <w:spacing w:val="0"/>
        <w:w w:val="104"/>
        <w:sz w:val="20"/>
        <w:szCs w:val="20"/>
        <w:lang w:val="es-ES" w:eastAsia="en-US" w:bidi="ar-SA"/>
      </w:rPr>
    </w:lvl>
    <w:lvl w:ilvl="1" w:tplc="71AC34BE">
      <w:numFmt w:val="bullet"/>
      <w:lvlText w:val="-"/>
      <w:lvlJc w:val="left"/>
      <w:pPr>
        <w:ind w:left="1200" w:hanging="360"/>
      </w:pPr>
      <w:rPr>
        <w:rFonts w:ascii="Lucida Sans" w:eastAsia="Lucida Sans" w:hAnsi="Lucida Sans" w:cs="Lucida Sans" w:hint="default"/>
        <w:b w:val="0"/>
        <w:bCs w:val="0"/>
        <w:i w:val="0"/>
        <w:iCs w:val="0"/>
        <w:spacing w:val="0"/>
        <w:w w:val="104"/>
        <w:sz w:val="20"/>
        <w:szCs w:val="20"/>
        <w:lang w:val="es-ES" w:eastAsia="en-US" w:bidi="ar-SA"/>
      </w:rPr>
    </w:lvl>
    <w:lvl w:ilvl="2" w:tplc="AF329A5C">
      <w:numFmt w:val="bullet"/>
      <w:lvlText w:val="•"/>
      <w:lvlJc w:val="left"/>
      <w:pPr>
        <w:ind w:left="2146" w:hanging="360"/>
      </w:pPr>
      <w:rPr>
        <w:rFonts w:hint="default"/>
        <w:lang w:val="es-ES" w:eastAsia="en-US" w:bidi="ar-SA"/>
      </w:rPr>
    </w:lvl>
    <w:lvl w:ilvl="3" w:tplc="5A6C5600">
      <w:numFmt w:val="bullet"/>
      <w:lvlText w:val="•"/>
      <w:lvlJc w:val="left"/>
      <w:pPr>
        <w:ind w:left="3093" w:hanging="360"/>
      </w:pPr>
      <w:rPr>
        <w:rFonts w:hint="default"/>
        <w:lang w:val="es-ES" w:eastAsia="en-US" w:bidi="ar-SA"/>
      </w:rPr>
    </w:lvl>
    <w:lvl w:ilvl="4" w:tplc="CB7AABCC">
      <w:numFmt w:val="bullet"/>
      <w:lvlText w:val="•"/>
      <w:lvlJc w:val="left"/>
      <w:pPr>
        <w:ind w:left="4040" w:hanging="360"/>
      </w:pPr>
      <w:rPr>
        <w:rFonts w:hint="default"/>
        <w:lang w:val="es-ES" w:eastAsia="en-US" w:bidi="ar-SA"/>
      </w:rPr>
    </w:lvl>
    <w:lvl w:ilvl="5" w:tplc="450E7E1A">
      <w:numFmt w:val="bullet"/>
      <w:lvlText w:val="•"/>
      <w:lvlJc w:val="left"/>
      <w:pPr>
        <w:ind w:left="4986" w:hanging="360"/>
      </w:pPr>
      <w:rPr>
        <w:rFonts w:hint="default"/>
        <w:lang w:val="es-ES" w:eastAsia="en-US" w:bidi="ar-SA"/>
      </w:rPr>
    </w:lvl>
    <w:lvl w:ilvl="6" w:tplc="141E03AE">
      <w:numFmt w:val="bullet"/>
      <w:lvlText w:val="•"/>
      <w:lvlJc w:val="left"/>
      <w:pPr>
        <w:ind w:left="5933" w:hanging="360"/>
      </w:pPr>
      <w:rPr>
        <w:rFonts w:hint="default"/>
        <w:lang w:val="es-ES" w:eastAsia="en-US" w:bidi="ar-SA"/>
      </w:rPr>
    </w:lvl>
    <w:lvl w:ilvl="7" w:tplc="6A4691D4">
      <w:numFmt w:val="bullet"/>
      <w:lvlText w:val="•"/>
      <w:lvlJc w:val="left"/>
      <w:pPr>
        <w:ind w:left="6880" w:hanging="360"/>
      </w:pPr>
      <w:rPr>
        <w:rFonts w:hint="default"/>
        <w:lang w:val="es-ES" w:eastAsia="en-US" w:bidi="ar-SA"/>
      </w:rPr>
    </w:lvl>
    <w:lvl w:ilvl="8" w:tplc="E2FED11C">
      <w:numFmt w:val="bullet"/>
      <w:lvlText w:val="•"/>
      <w:lvlJc w:val="left"/>
      <w:pPr>
        <w:ind w:left="7826" w:hanging="360"/>
      </w:pPr>
      <w:rPr>
        <w:rFonts w:hint="default"/>
        <w:lang w:val="es-ES" w:eastAsia="en-US" w:bidi="ar-SA"/>
      </w:rPr>
    </w:lvl>
  </w:abstractNum>
  <w:abstractNum w:abstractNumId="3" w15:restartNumberingAfterBreak="0">
    <w:nsid w:val="5FA20EAA"/>
    <w:multiLevelType w:val="hybridMultilevel"/>
    <w:tmpl w:val="7AEC0EB4"/>
    <w:lvl w:ilvl="0" w:tplc="70E6B07E">
      <w:start w:val="1"/>
      <w:numFmt w:val="decimal"/>
      <w:lvlText w:val="%1."/>
      <w:lvlJc w:val="left"/>
      <w:pPr>
        <w:ind w:left="557" w:hanging="360"/>
        <w:jc w:val="left"/>
      </w:pPr>
      <w:rPr>
        <w:rFonts w:hint="default"/>
        <w:spacing w:val="-1"/>
        <w:w w:val="83"/>
        <w:lang w:val="es-ES" w:eastAsia="en-US" w:bidi="ar-SA"/>
      </w:rPr>
    </w:lvl>
    <w:lvl w:ilvl="1" w:tplc="70ECAEF4">
      <w:numFmt w:val="bullet"/>
      <w:lvlText w:val="•"/>
      <w:lvlJc w:val="left"/>
      <w:pPr>
        <w:ind w:left="1046" w:hanging="356"/>
      </w:pPr>
      <w:rPr>
        <w:rFonts w:ascii="Lucida Sans" w:eastAsia="Lucida Sans" w:hAnsi="Lucida Sans" w:cs="Lucida Sans" w:hint="default"/>
        <w:b w:val="0"/>
        <w:bCs w:val="0"/>
        <w:i w:val="0"/>
        <w:iCs w:val="0"/>
        <w:spacing w:val="0"/>
        <w:w w:val="59"/>
        <w:sz w:val="20"/>
        <w:szCs w:val="20"/>
        <w:lang w:val="es-ES" w:eastAsia="en-US" w:bidi="ar-SA"/>
      </w:rPr>
    </w:lvl>
    <w:lvl w:ilvl="2" w:tplc="6D861032">
      <w:numFmt w:val="bullet"/>
      <w:lvlText w:val="•"/>
      <w:lvlJc w:val="left"/>
      <w:pPr>
        <w:ind w:left="2004" w:hanging="356"/>
      </w:pPr>
      <w:rPr>
        <w:rFonts w:hint="default"/>
        <w:lang w:val="es-ES" w:eastAsia="en-US" w:bidi="ar-SA"/>
      </w:rPr>
    </w:lvl>
    <w:lvl w:ilvl="3" w:tplc="C8F27AF6">
      <w:numFmt w:val="bullet"/>
      <w:lvlText w:val="•"/>
      <w:lvlJc w:val="left"/>
      <w:pPr>
        <w:ind w:left="2968" w:hanging="356"/>
      </w:pPr>
      <w:rPr>
        <w:rFonts w:hint="default"/>
        <w:lang w:val="es-ES" w:eastAsia="en-US" w:bidi="ar-SA"/>
      </w:rPr>
    </w:lvl>
    <w:lvl w:ilvl="4" w:tplc="A986E954">
      <w:numFmt w:val="bullet"/>
      <w:lvlText w:val="•"/>
      <w:lvlJc w:val="left"/>
      <w:pPr>
        <w:ind w:left="3933" w:hanging="356"/>
      </w:pPr>
      <w:rPr>
        <w:rFonts w:hint="default"/>
        <w:lang w:val="es-ES" w:eastAsia="en-US" w:bidi="ar-SA"/>
      </w:rPr>
    </w:lvl>
    <w:lvl w:ilvl="5" w:tplc="DEC83C5E">
      <w:numFmt w:val="bullet"/>
      <w:lvlText w:val="•"/>
      <w:lvlJc w:val="left"/>
      <w:pPr>
        <w:ind w:left="4897" w:hanging="356"/>
      </w:pPr>
      <w:rPr>
        <w:rFonts w:hint="default"/>
        <w:lang w:val="es-ES" w:eastAsia="en-US" w:bidi="ar-SA"/>
      </w:rPr>
    </w:lvl>
    <w:lvl w:ilvl="6" w:tplc="611C0ADC">
      <w:numFmt w:val="bullet"/>
      <w:lvlText w:val="•"/>
      <w:lvlJc w:val="left"/>
      <w:pPr>
        <w:ind w:left="5862" w:hanging="356"/>
      </w:pPr>
      <w:rPr>
        <w:rFonts w:hint="default"/>
        <w:lang w:val="es-ES" w:eastAsia="en-US" w:bidi="ar-SA"/>
      </w:rPr>
    </w:lvl>
    <w:lvl w:ilvl="7" w:tplc="055C172C">
      <w:numFmt w:val="bullet"/>
      <w:lvlText w:val="•"/>
      <w:lvlJc w:val="left"/>
      <w:pPr>
        <w:ind w:left="6826" w:hanging="356"/>
      </w:pPr>
      <w:rPr>
        <w:rFonts w:hint="default"/>
        <w:lang w:val="es-ES" w:eastAsia="en-US" w:bidi="ar-SA"/>
      </w:rPr>
    </w:lvl>
    <w:lvl w:ilvl="8" w:tplc="480A3356">
      <w:numFmt w:val="bullet"/>
      <w:lvlText w:val="•"/>
      <w:lvlJc w:val="left"/>
      <w:pPr>
        <w:ind w:left="7791" w:hanging="356"/>
      </w:pPr>
      <w:rPr>
        <w:rFonts w:hint="default"/>
        <w:lang w:val="es-ES" w:eastAsia="en-US" w:bidi="ar-SA"/>
      </w:rPr>
    </w:lvl>
  </w:abstractNum>
  <w:abstractNum w:abstractNumId="4" w15:restartNumberingAfterBreak="0">
    <w:nsid w:val="786E7504"/>
    <w:multiLevelType w:val="hybridMultilevel"/>
    <w:tmpl w:val="D8909F60"/>
    <w:lvl w:ilvl="0" w:tplc="C6927FA6">
      <w:numFmt w:val="bullet"/>
      <w:lvlText w:val="-"/>
      <w:lvlJc w:val="left"/>
      <w:pPr>
        <w:ind w:left="1200" w:hanging="360"/>
      </w:pPr>
      <w:rPr>
        <w:rFonts w:ascii="Century Gothic" w:eastAsia="Century Gothic" w:hAnsi="Century Gothic" w:cs="Century Gothic" w:hint="default"/>
        <w:b w:val="0"/>
        <w:bCs w:val="0"/>
        <w:i w:val="0"/>
        <w:iCs w:val="0"/>
        <w:spacing w:val="0"/>
        <w:w w:val="102"/>
        <w:sz w:val="20"/>
        <w:szCs w:val="20"/>
        <w:lang w:val="es-ES" w:eastAsia="en-US" w:bidi="ar-SA"/>
      </w:rPr>
    </w:lvl>
    <w:lvl w:ilvl="1" w:tplc="7CAC4D06">
      <w:numFmt w:val="bullet"/>
      <w:lvlText w:val="•"/>
      <w:lvlJc w:val="left"/>
      <w:pPr>
        <w:ind w:left="2052" w:hanging="360"/>
      </w:pPr>
      <w:rPr>
        <w:rFonts w:hint="default"/>
        <w:lang w:val="es-ES" w:eastAsia="en-US" w:bidi="ar-SA"/>
      </w:rPr>
    </w:lvl>
    <w:lvl w:ilvl="2" w:tplc="3BEAFB22">
      <w:numFmt w:val="bullet"/>
      <w:lvlText w:val="•"/>
      <w:lvlJc w:val="left"/>
      <w:pPr>
        <w:ind w:left="2904" w:hanging="360"/>
      </w:pPr>
      <w:rPr>
        <w:rFonts w:hint="default"/>
        <w:lang w:val="es-ES" w:eastAsia="en-US" w:bidi="ar-SA"/>
      </w:rPr>
    </w:lvl>
    <w:lvl w:ilvl="3" w:tplc="CB2E3F20">
      <w:numFmt w:val="bullet"/>
      <w:lvlText w:val="•"/>
      <w:lvlJc w:val="left"/>
      <w:pPr>
        <w:ind w:left="3756" w:hanging="360"/>
      </w:pPr>
      <w:rPr>
        <w:rFonts w:hint="default"/>
        <w:lang w:val="es-ES" w:eastAsia="en-US" w:bidi="ar-SA"/>
      </w:rPr>
    </w:lvl>
    <w:lvl w:ilvl="4" w:tplc="3D741A34">
      <w:numFmt w:val="bullet"/>
      <w:lvlText w:val="•"/>
      <w:lvlJc w:val="left"/>
      <w:pPr>
        <w:ind w:left="4608" w:hanging="360"/>
      </w:pPr>
      <w:rPr>
        <w:rFonts w:hint="default"/>
        <w:lang w:val="es-ES" w:eastAsia="en-US" w:bidi="ar-SA"/>
      </w:rPr>
    </w:lvl>
    <w:lvl w:ilvl="5" w:tplc="8E70E828">
      <w:numFmt w:val="bullet"/>
      <w:lvlText w:val="•"/>
      <w:lvlJc w:val="left"/>
      <w:pPr>
        <w:ind w:left="5460" w:hanging="360"/>
      </w:pPr>
      <w:rPr>
        <w:rFonts w:hint="default"/>
        <w:lang w:val="es-ES" w:eastAsia="en-US" w:bidi="ar-SA"/>
      </w:rPr>
    </w:lvl>
    <w:lvl w:ilvl="6" w:tplc="C4CEC6FE">
      <w:numFmt w:val="bullet"/>
      <w:lvlText w:val="•"/>
      <w:lvlJc w:val="left"/>
      <w:pPr>
        <w:ind w:left="6312" w:hanging="360"/>
      </w:pPr>
      <w:rPr>
        <w:rFonts w:hint="default"/>
        <w:lang w:val="es-ES" w:eastAsia="en-US" w:bidi="ar-SA"/>
      </w:rPr>
    </w:lvl>
    <w:lvl w:ilvl="7" w:tplc="A058BF92">
      <w:numFmt w:val="bullet"/>
      <w:lvlText w:val="•"/>
      <w:lvlJc w:val="left"/>
      <w:pPr>
        <w:ind w:left="7164" w:hanging="360"/>
      </w:pPr>
      <w:rPr>
        <w:rFonts w:hint="default"/>
        <w:lang w:val="es-ES" w:eastAsia="en-US" w:bidi="ar-SA"/>
      </w:rPr>
    </w:lvl>
    <w:lvl w:ilvl="8" w:tplc="D55A85C0">
      <w:numFmt w:val="bullet"/>
      <w:lvlText w:val="•"/>
      <w:lvlJc w:val="left"/>
      <w:pPr>
        <w:ind w:left="8016" w:hanging="360"/>
      </w:pPr>
      <w:rPr>
        <w:rFonts w:hint="default"/>
        <w:lang w:val="es-ES" w:eastAsia="en-US" w:bidi="ar-SA"/>
      </w:rPr>
    </w:lvl>
  </w:abstractNum>
  <w:num w:numId="1" w16cid:durableId="892077286">
    <w:abstractNumId w:val="1"/>
  </w:num>
  <w:num w:numId="2" w16cid:durableId="20593170">
    <w:abstractNumId w:val="0"/>
  </w:num>
  <w:num w:numId="3" w16cid:durableId="1685668302">
    <w:abstractNumId w:val="4"/>
  </w:num>
  <w:num w:numId="4" w16cid:durableId="329646971">
    <w:abstractNumId w:val="2"/>
  </w:num>
  <w:num w:numId="5" w16cid:durableId="225528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F0"/>
    <w:rsid w:val="00201D5C"/>
    <w:rsid w:val="003A44AF"/>
    <w:rsid w:val="003E5B2B"/>
    <w:rsid w:val="004F253D"/>
    <w:rsid w:val="00514E92"/>
    <w:rsid w:val="007A3AD2"/>
    <w:rsid w:val="007F0102"/>
    <w:rsid w:val="009035B0"/>
    <w:rsid w:val="009064DF"/>
    <w:rsid w:val="00BD3DD0"/>
    <w:rsid w:val="00D07007"/>
    <w:rsid w:val="00E35376"/>
    <w:rsid w:val="00EB545C"/>
    <w:rsid w:val="00FB06F0"/>
    <w:rsid w:val="00FC414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ABD1F"/>
  <w15:docId w15:val="{C74B6A78-01BF-45A1-85A1-562F3C34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Ttulo1">
    <w:name w:val="heading 1"/>
    <w:basedOn w:val="Normal"/>
    <w:uiPriority w:val="9"/>
    <w:qFormat/>
    <w:pPr>
      <w:ind w:left="546" w:hanging="349"/>
      <w:outlineLvl w:val="0"/>
    </w:pPr>
    <w:rPr>
      <w:rFonts w:ascii="Arial Black" w:eastAsia="Arial Black" w:hAnsi="Arial Black" w:cs="Arial Black"/>
      <w:b/>
      <w:bCs/>
      <w:sz w:val="32"/>
      <w:szCs w:val="32"/>
    </w:rPr>
  </w:style>
  <w:style w:type="paragraph" w:styleId="Ttulo2">
    <w:name w:val="heading 2"/>
    <w:basedOn w:val="Normal"/>
    <w:uiPriority w:val="9"/>
    <w:unhideWhenUsed/>
    <w:qFormat/>
    <w:pPr>
      <w:spacing w:before="2"/>
      <w:ind w:left="197"/>
      <w:outlineLvl w:val="1"/>
    </w:pPr>
    <w:rPr>
      <w:rFonts w:ascii="Arial" w:eastAsia="Arial" w:hAnsi="Arial" w:cs="Arial"/>
      <w:b/>
      <w:bCs/>
      <w:i/>
      <w:iCs/>
      <w:sz w:val="32"/>
      <w:szCs w:val="32"/>
    </w:rPr>
  </w:style>
  <w:style w:type="paragraph" w:styleId="Ttulo3">
    <w:name w:val="heading 3"/>
    <w:basedOn w:val="Normal"/>
    <w:uiPriority w:val="9"/>
    <w:unhideWhenUsed/>
    <w:qFormat/>
    <w:pPr>
      <w:ind w:left="500" w:hanging="303"/>
      <w:outlineLvl w:val="2"/>
    </w:pPr>
    <w:rPr>
      <w:rFonts w:ascii="Arial Black" w:eastAsia="Arial Black" w:hAnsi="Arial Black" w:cs="Arial Black"/>
      <w:b/>
      <w:bCs/>
      <w:sz w:val="28"/>
      <w:szCs w:val="28"/>
    </w:rPr>
  </w:style>
  <w:style w:type="paragraph" w:styleId="Ttulo4">
    <w:name w:val="heading 4"/>
    <w:basedOn w:val="Normal"/>
    <w:uiPriority w:val="9"/>
    <w:unhideWhenUsed/>
    <w:qFormat/>
    <w:pPr>
      <w:spacing w:before="169"/>
      <w:ind w:left="470"/>
      <w:jc w:val="both"/>
      <w:outlineLvl w:val="3"/>
    </w:pPr>
    <w:rPr>
      <w:rFonts w:ascii="Arial Black" w:eastAsia="Arial Black" w:hAnsi="Arial Black" w:cs="Arial Black"/>
      <w:b/>
      <w:bCs/>
    </w:rPr>
  </w:style>
  <w:style w:type="paragraph" w:styleId="Ttulo5">
    <w:name w:val="heading 5"/>
    <w:basedOn w:val="Normal"/>
    <w:uiPriority w:val="9"/>
    <w:unhideWhenUsed/>
    <w:qFormat/>
    <w:pPr>
      <w:spacing w:before="94"/>
      <w:ind w:left="480"/>
      <w:jc w:val="both"/>
      <w:outlineLvl w:val="4"/>
    </w:pPr>
    <w:rPr>
      <w:rFonts w:ascii="Arial Black" w:eastAsia="Arial Black" w:hAnsi="Arial Black" w:cs="Arial Black"/>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1200" w:hanging="360"/>
    </w:pPr>
  </w:style>
  <w:style w:type="paragraph" w:customStyle="1" w:styleId="TableParagraph">
    <w:name w:val="Table Paragraph"/>
    <w:basedOn w:val="Normal"/>
    <w:uiPriority w:val="1"/>
    <w:qFormat/>
    <w:pPr>
      <w:spacing w:before="20"/>
      <w:ind w:left="285"/>
    </w:pPr>
  </w:style>
  <w:style w:type="paragraph" w:styleId="Textonotapie">
    <w:name w:val="footnote text"/>
    <w:basedOn w:val="Normal"/>
    <w:link w:val="TextonotapieCar"/>
    <w:uiPriority w:val="99"/>
    <w:semiHidden/>
    <w:unhideWhenUsed/>
    <w:rsid w:val="007F0102"/>
    <w:rPr>
      <w:sz w:val="20"/>
      <w:szCs w:val="20"/>
    </w:rPr>
  </w:style>
  <w:style w:type="character" w:customStyle="1" w:styleId="TextonotapieCar">
    <w:name w:val="Texto nota pie Car"/>
    <w:basedOn w:val="Fuentedeprrafopredeter"/>
    <w:link w:val="Textonotapie"/>
    <w:uiPriority w:val="99"/>
    <w:semiHidden/>
    <w:rsid w:val="007F0102"/>
    <w:rPr>
      <w:rFonts w:ascii="Lucida Sans" w:eastAsia="Lucida Sans" w:hAnsi="Lucida Sans" w:cs="Lucida Sans"/>
      <w:sz w:val="20"/>
      <w:szCs w:val="20"/>
    </w:rPr>
  </w:style>
  <w:style w:type="character" w:styleId="Refdenotaalpie">
    <w:name w:val="footnote reference"/>
    <w:basedOn w:val="Fuentedeprrafopredeter"/>
    <w:uiPriority w:val="99"/>
    <w:semiHidden/>
    <w:unhideWhenUsed/>
    <w:rsid w:val="007F0102"/>
    <w:rPr>
      <w:vertAlign w:val="superscript"/>
    </w:rPr>
  </w:style>
  <w:style w:type="paragraph" w:styleId="Encabezado">
    <w:name w:val="header"/>
    <w:basedOn w:val="Normal"/>
    <w:link w:val="EncabezadoCar"/>
    <w:uiPriority w:val="99"/>
    <w:unhideWhenUsed/>
    <w:rsid w:val="007F0102"/>
    <w:pPr>
      <w:tabs>
        <w:tab w:val="center" w:pos="4252"/>
        <w:tab w:val="right" w:pos="8504"/>
      </w:tabs>
    </w:pPr>
  </w:style>
  <w:style w:type="character" w:customStyle="1" w:styleId="EncabezadoCar">
    <w:name w:val="Encabezado Car"/>
    <w:basedOn w:val="Fuentedeprrafopredeter"/>
    <w:link w:val="Encabezado"/>
    <w:uiPriority w:val="99"/>
    <w:rsid w:val="007F0102"/>
    <w:rPr>
      <w:rFonts w:ascii="Lucida Sans" w:eastAsia="Lucida Sans" w:hAnsi="Lucida Sans" w:cs="Lucida Sans"/>
    </w:rPr>
  </w:style>
  <w:style w:type="paragraph" w:styleId="Piedepgina">
    <w:name w:val="footer"/>
    <w:basedOn w:val="Normal"/>
    <w:link w:val="PiedepginaCar"/>
    <w:uiPriority w:val="99"/>
    <w:unhideWhenUsed/>
    <w:rsid w:val="007F0102"/>
    <w:pPr>
      <w:tabs>
        <w:tab w:val="center" w:pos="4252"/>
        <w:tab w:val="right" w:pos="8504"/>
      </w:tabs>
    </w:pPr>
  </w:style>
  <w:style w:type="character" w:customStyle="1" w:styleId="PiedepginaCar">
    <w:name w:val="Pie de página Car"/>
    <w:basedOn w:val="Fuentedeprrafopredeter"/>
    <w:link w:val="Piedepgina"/>
    <w:uiPriority w:val="99"/>
    <w:rsid w:val="007F0102"/>
    <w:rPr>
      <w:rFonts w:ascii="Lucida Sans" w:eastAsia="Lucida Sans" w:hAnsi="Lucida Sans" w:cs="Lucida Sans"/>
    </w:rPr>
  </w:style>
  <w:style w:type="character" w:customStyle="1" w:styleId="TextoindependienteCar">
    <w:name w:val="Texto independiente Car"/>
    <w:basedOn w:val="Fuentedeprrafopredeter"/>
    <w:link w:val="Textoindependiente"/>
    <w:uiPriority w:val="1"/>
    <w:rsid w:val="00FC414A"/>
    <w:rPr>
      <w:rFonts w:ascii="Lucida Sans" w:eastAsia="Lucida Sans" w:hAnsi="Lucida Sans" w:cs="Lucida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e.costarica@aecid.es"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sanctionsmap.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4FF84CF8B0F50408ECAA21875E187E0" ma:contentTypeVersion="13" ma:contentTypeDescription="Crear nuevo documento." ma:contentTypeScope="" ma:versionID="814a93096494040ce53f6791405c471d">
  <xsd:schema xmlns:xsd="http://www.w3.org/2001/XMLSchema" xmlns:xs="http://www.w3.org/2001/XMLSchema" xmlns:p="http://schemas.microsoft.com/office/2006/metadata/properties" xmlns:ns2="e58abb97-3719-4393-9cf7-0d1c5b67fa4d" xmlns:ns3="5180300f-946d-4c25-9276-c15af469b183" targetNamespace="http://schemas.microsoft.com/office/2006/metadata/properties" ma:root="true" ma:fieldsID="b80a713de1335855aad3deddd5db13e2" ns2:_="" ns3:_="">
    <xsd:import namespace="e58abb97-3719-4393-9cf7-0d1c5b67fa4d"/>
    <xsd:import namespace="5180300f-946d-4c25-9276-c15af469b1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abb97-3719-4393-9cf7-0d1c5b67f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fe2f879-620a-4f04-b103-035549852c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80300f-946d-4c25-9276-c15af469b1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94570d-8163-4b13-b357-4d588366720b}" ma:internalName="TaxCatchAll" ma:showField="CatchAllData" ma:web="5180300f-946d-4c25-9276-c15af469b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abb97-3719-4393-9cf7-0d1c5b67fa4d">
      <Terms xmlns="http://schemas.microsoft.com/office/infopath/2007/PartnerControls"/>
    </lcf76f155ced4ddcb4097134ff3c332f>
    <TaxCatchAll xmlns="5180300f-946d-4c25-9276-c15af469b183" xsi:nil="true"/>
  </documentManagement>
</p:properties>
</file>

<file path=customXml/itemProps1.xml><?xml version="1.0" encoding="utf-8"?>
<ds:datastoreItem xmlns:ds="http://schemas.openxmlformats.org/officeDocument/2006/customXml" ds:itemID="{0A515941-5816-455A-B3B7-7790B94F8959}">
  <ds:schemaRefs>
    <ds:schemaRef ds:uri="http://schemas.openxmlformats.org/officeDocument/2006/bibliography"/>
  </ds:schemaRefs>
</ds:datastoreItem>
</file>

<file path=customXml/itemProps2.xml><?xml version="1.0" encoding="utf-8"?>
<ds:datastoreItem xmlns:ds="http://schemas.openxmlformats.org/officeDocument/2006/customXml" ds:itemID="{D3E3E9BA-7172-4943-9B4D-1477D64DC674}"/>
</file>

<file path=customXml/itemProps3.xml><?xml version="1.0" encoding="utf-8"?>
<ds:datastoreItem xmlns:ds="http://schemas.openxmlformats.org/officeDocument/2006/customXml" ds:itemID="{6E3AEF2D-F7C0-4E4C-87E7-3D133E28A6F7}"/>
</file>

<file path=customXml/itemProps4.xml><?xml version="1.0" encoding="utf-8"?>
<ds:datastoreItem xmlns:ds="http://schemas.openxmlformats.org/officeDocument/2006/customXml" ds:itemID="{58E63F46-B5BF-4775-BFB7-F532BCB1456E}"/>
</file>

<file path=docProps/app.xml><?xml version="1.0" encoding="utf-8"?>
<Properties xmlns="http://schemas.openxmlformats.org/officeDocument/2006/extended-properties" xmlns:vt="http://schemas.openxmlformats.org/officeDocument/2006/docPropsVTypes">
  <Template>Normal</Template>
  <TotalTime>3</TotalTime>
  <Pages>8</Pages>
  <Words>2741</Words>
  <Characters>15077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Mosquera Arancibia, Mercedes</dc:creator>
  <cp:lastModifiedBy>Pérez de Madrid Utrilla, Marta Claudia</cp:lastModifiedBy>
  <cp:revision>3</cp:revision>
  <dcterms:created xsi:type="dcterms:W3CDTF">2026-02-27T20:31:00Z</dcterms:created>
  <dcterms:modified xsi:type="dcterms:W3CDTF">2026-02-27T20:31:00Z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para Microsoft 365</vt:lpwstr>
  </property>
  <property fmtid="{D5CDD505-2E9C-101B-9397-08002B2CF9AE}" pid="4" name="LastSaved">
    <vt:filetime>2026-02-20T00:00:00Z</vt:filetime>
  </property>
  <property fmtid="{D5CDD505-2E9C-101B-9397-08002B2CF9AE}" pid="5" name="Producer">
    <vt:lpwstr>Microsoft® Word para Microsoft 365</vt:lpwstr>
  </property>
  <property fmtid="{D5CDD505-2E9C-101B-9397-08002B2CF9AE}" pid="6" name="ContentTypeId">
    <vt:lpwstr>0x01010074FF84CF8B0F50408ECAA21875E187E0</vt:lpwstr>
  </property>
</Properties>
</file>